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учёта рецептурных бланков</w:t>
      </w:r>
    </w:p>
    <w:p>
      <w:pPr>
        <w:pStyle w:val="FirstParagraph"/>
      </w:pPr>
      <w:r>
        <w:t xml:space="preserve">Аптека ООО «Ромашка»</w:t>
      </w:r>
    </w:p>
    <w:p>
      <w:pPr>
        <w:pStyle w:val="BodyText"/>
      </w:pPr>
      <w:r>
        <w:t xml:space="preserve">ИНН 7701234567</w:t>
      </w:r>
    </w:p>
    <w:p>
      <w:pPr>
        <w:pStyle w:val="BodyText"/>
      </w:pPr>
      <w:r>
        <w:t xml:space="preserve">Журнал начат 01 января 2026 г.</w:t>
      </w:r>
    </w:p>
    <w:p>
      <w:pPr>
        <w:pStyle w:val="BodyText"/>
      </w:pPr>
      <w:r>
        <w:t xml:space="preserve">Журнал окончен 31 декабря 2026 г.</w:t>
      </w:r>
    </w:p>
    <w:bookmarkStart w:id="10" w:name="журнал-учёта-рецептурных-бланков"/>
    <w:p>
      <w:pPr>
        <w:pStyle w:val="Heading1"/>
      </w:pPr>
      <w:r>
        <w:t xml:space="preserve">Журнал учёта рецептурных бланков</w:t>
      </w:r>
    </w:p>
    <w:bookmarkStart w:id="9" w:name="формы-148-1у-88-и-107-1у"/>
    <w:p>
      <w:pPr>
        <w:pStyle w:val="Heading2"/>
      </w:pPr>
      <w:r>
        <w:t xml:space="preserve">формы 148-1/у-88 и 107-1/у</w:t>
      </w:r>
    </w:p>
    <w:p>
      <w:pPr>
        <w:pStyle w:val="FirstParagraph"/>
      </w:pPr>
      <w:r>
        <w:t xml:space="preserve">2026 г.</w:t>
      </w:r>
    </w:p>
    <w:p>
      <w:pPr>
        <w:pStyle w:val="BodyText"/>
      </w:pPr>
      <w:r>
        <w:t xml:space="preserve">Журнал ведётся по каждой форме бланков отдельно: 148-1/у-88 и 107-1/у учитывают в соответствии с предусмотренными для них графами. Учёт организует медицинская организация или индивидуальный предприниматель с лицензией на медицинскую деятельность; записи ведёт ответственный медицинский работник.</w:t>
      </w:r>
    </w:p>
    <w:p>
      <w:pPr>
        <w:pStyle w:val="BodyText"/>
      </w:pPr>
      <w:r>
        <w:t xml:space="preserve">Каждая запись содержит порядковый номер, дату, номер и серию бланка, количество принятых или выданных бланков, подпись принявшего или выдавшего и подпись получателя. Исправления заверяются подписью ответственного лица.</w:t>
      </w:r>
    </w:p>
    <w:p>
      <w:pPr>
        <w:pStyle w:val="BodyText"/>
      </w:pPr>
      <w:r>
        <w:t xml:space="preserve">Журнал хранится в запираемом шкафу вместе с рецептурными бланками. По окончании календарного года журнал сдаётся в архив организации и хранится в течение установленного срока.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Заведующий аптекой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учёта рецептурных бланков</dc:title>
  <dc:creator/>
  <dc:language>ru</dc:language>
  <cp:keywords/>
  <dcterms:created xsi:type="dcterms:W3CDTF">2026-11-07T20:53:00Z</dcterms:created>
  <dcterms:modified xsi:type="dcterms:W3CDTF">2026-11-07T20:53:00Z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