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контроля за выполнением приказов о проведении инвентаризации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по учётной политике — бухгалтерия</w:t>
      </w:r>
    </w:p>
    <w:bookmarkStart w:id="10" w:name="X6dab2ee36cf1ab9bf6b5f1d198db6fb47e71a33"/>
    <w:p>
      <w:pPr>
        <w:pStyle w:val="Heading1"/>
      </w:pPr>
      <w:r>
        <w:t xml:space="preserve">Журнал учёта контроля за выполнением приказов о проведении инвентаризации</w:t>
      </w:r>
    </w:p>
    <w:bookmarkStart w:id="9" w:name="форма-инв-23"/>
    <w:p>
      <w:pPr>
        <w:pStyle w:val="Heading2"/>
      </w:pPr>
      <w:r>
        <w:t xml:space="preserve">форма ИНВ-23</w:t>
      </w:r>
    </w:p>
    <w:p>
      <w:pPr>
        <w:pStyle w:val="FirstParagraph"/>
      </w:pPr>
      <w:r>
        <w:t xml:space="preserve">Начат 11 января 2026 г.</w:t>
      </w:r>
    </w:p>
    <w:p>
      <w:pPr>
        <w:pStyle w:val="BodyText"/>
      </w:pPr>
      <w:r>
        <w:t xml:space="preserve">Записи ведутся в порядке поступления приказов. В графах 1–4 — номер и дата приказа, дата и срок проведения инвентаризации; в графах 5–7 — дата и номер протокола комиссии, отметка о выполнении.</w:t>
      </w:r>
    </w:p>
    <w:p>
      <w:pPr>
        <w:pStyle w:val="BodyText"/>
      </w:pPr>
      <w:r>
        <w:t xml:space="preserve">Отметку о выполнении ставит председатель инвентаризационной комиссии после утверждения описей и сличительных ведомостей руководителем.</w:t>
      </w:r>
    </w:p>
    <w:p>
      <w:pPr>
        <w:pStyle w:val="BodyText"/>
      </w:pPr>
      <w:r>
        <w:t xml:space="preserve">Журнал хранится в бухгалтерии; срок хранения — по номенклатуре дел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контроля за выполнением приказов о проведении инвентаризации</dc:title>
  <dc:creator/>
  <dc:language>ru</dc:language>
  <cp:keywords/>
  <dcterms:created xsi:type="dcterms:W3CDTF">2026-11-07T20:52:29Z</dcterms:created>
  <dcterms:modified xsi:type="dcterms:W3CDTF">2026-11-07T20:52:29Z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