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Жалоба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(вышестоящий налоговый орган) 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ИНН, ОГРН, адрес: 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жалоба"/>
    <w:p>
      <w:pPr>
        <w:pStyle w:val="Heading1"/>
      </w:pPr>
      <w:r>
        <w:t xml:space="preserve">Жалоба</w:t>
      </w:r>
    </w:p>
    <w:bookmarkStart w:id="9" w:name="X34b8b669f0dc5bdd06bfec8e4bb706f59e48d8f"/>
    <w:p>
      <w:pPr>
        <w:pStyle w:val="Heading2"/>
      </w:pPr>
      <w:r>
        <w:t xml:space="preserve">на действия должностных лиц налогового органа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 чём нарушение: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</dc:title>
  <dc:creator/>
  <dc:language>ru</dc:language>
  <cp:keywords/>
  <dcterms:created xsi:type="dcterms:W3CDTF">2026-11-07T20:52:17Z</dcterms:created>
  <dcterms:modified xsi:type="dcterms:W3CDTF">2026-11-07T20:52:17Z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