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добросовестности контрагента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ООО «Вектор»</w:t>
      </w:r>
    </w:p>
    <w:p>
      <w:pPr>
        <w:pStyle w:val="BodyText"/>
      </w:pPr>
      <w:r>
        <w:t xml:space="preserve">ИНН 7701234567, ОГРН 1157746000000</w:t>
      </w:r>
    </w:p>
    <w:bookmarkStart w:id="10" w:name="заявление-о-добросовестности-контрагента"/>
    <w:p>
      <w:pPr>
        <w:pStyle w:val="Heading1"/>
      </w:pPr>
      <w:r>
        <w:t xml:space="preserve">Заявление о добросовестности контрагента</w:t>
      </w:r>
    </w:p>
    <w:bookmarkStart w:id="9" w:name="заверения-перед-заключением-договора"/>
    <w:p>
      <w:pPr>
        <w:pStyle w:val="Heading2"/>
      </w:pPr>
      <w:r>
        <w:t xml:space="preserve">заверения перед заключением договора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Настоящим ООО «Вектор» (далее — Контрагент) в лице генерального директора И. И. Иванова, действующего на основании устава, в соответствии со статьёй 431.2 Гражданского кодекса Российской Федерации заверяет и подтверждает, что на момент заключения договора поставки между Контрагентом и ООО «Ромашка»:</w:t>
      </w:r>
    </w:p>
    <w:p>
      <w:pPr>
        <w:pStyle w:val="BodyText"/>
      </w:pPr>
      <w:r>
        <w:t xml:space="preserve">1. Контрагент состоит на налоговом учёте в Межрайонной ИФНС № 46 по г. Москве с 12 марта 2015 года, ему присвоены ИНН 7701234567, ОГРН 1157746000000, КПП 770101001. Копии устава, свидетельства о регистрации и приказа о назначении руководителя прилагаются.</w:t>
      </w:r>
    </w:p>
    <w:p>
      <w:pPr>
        <w:pStyle w:val="BodyText"/>
      </w:pPr>
      <w:r>
        <w:t xml:space="preserve">2. Контрагент своевременно и в полном объёме исполняет обязанности налогоплательщика, не имеет задолженности по налогам, сборам и страховым взносам, подлежащим уплате в бюджет Российской Федерации.</w:t>
      </w:r>
    </w:p>
    <w:p>
      <w:pPr>
        <w:pStyle w:val="BodyText"/>
      </w:pPr>
      <w:r>
        <w:t xml:space="preserve">3. В отношении Контрагента не инициирована процедура банкротства, он не находится в стадии ликвидации или реорганизации, не отвечает признакам неплатёжеспособности.</w:t>
      </w:r>
    </w:p>
    <w:p>
      <w:pPr>
        <w:pStyle w:val="BodyText"/>
      </w:pPr>
      <w:r>
        <w:t xml:space="preserve">4. Контрагент располагает денежными, материальными и трудовыми ресурсами, необходимыми для исполнения обязательств по договору, ведёт реальную хозяйственную деятельность и находится по адресу, указанному в ЕГРЮЛ.</w:t>
      </w:r>
    </w:p>
    <w:p>
      <w:pPr>
        <w:pStyle w:val="BodyText"/>
      </w:pPr>
      <w:r>
        <w:t xml:space="preserve">5. Руководитель и учредители Контрагента не относятся к категории массовых, в отношении них отсутствуют записи о недостоверности сведений в ЕГРЮЛ.</w:t>
      </w:r>
    </w:p>
    <w:p>
      <w:pPr>
        <w:pStyle w:val="BodyText"/>
      </w:pPr>
      <w:r>
        <w:t xml:space="preserve">6. Контрагент обязуется сообщить Компании о любом изменении обстоятельств, указанных в настоящем заявлении, в течение трёх рабочих дней с момента, когда такое изменение произошло.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контрагента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добросовестности контрагента</dc:title>
  <dc:creator/>
  <dc:language>ru</dc:language>
  <cp:keywords/>
  <dcterms:created xsi:type="dcterms:W3CDTF">2026-11-03T20:39:10Z</dcterms:created>
  <dcterms:modified xsi:type="dcterms:W3CDTF">2026-11-03T20:39:10Z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