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Минфин России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письмо-в-минфин-россии"/>
    <w:p>
      <w:pPr>
        <w:pStyle w:val="Heading1"/>
      </w:pPr>
      <w:r>
        <w:t xml:space="preserve">Письмо в Минфин России</w:t>
      </w:r>
    </w:p>
    <w:bookmarkStart w:id="9" w:name="Xcd90f73afbfa281d3853f1629d3ec77eb709bf6"/>
    <w:p>
      <w:pPr>
        <w:pStyle w:val="Heading2"/>
      </w:pPr>
      <w:r>
        <w:t xml:space="preserve">о разъяснении порядка применения налогового законодательства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Вопрос: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направить ответ: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Минфин России</dc:title>
  <dc:creator/>
  <dc:language>ru</dc:language>
  <cp:keywords/>
  <dcterms:created xsi:type="dcterms:W3CDTF">2026-11-07T07:03:24Z</dcterms:created>
  <dcterms:modified xsi:type="dcterms:W3CDTF">2026-11-07T07:03:24Z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