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Заправочная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Транспортный участок</w:t>
      </w:r>
    </w:p>
    <w:p>
      <w:pPr>
        <w:pStyle w:val="BodyText"/>
      </w:pPr>
      <w:r>
        <w:t xml:space="preserve">Месяц: ноябрь 2026 г.</w:t>
      </w:r>
    </w:p>
    <w:bookmarkStart w:id="10" w:name="заправочная-ведомость"/>
    <w:p>
      <w:pPr>
        <w:pStyle w:val="Heading1"/>
      </w:pPr>
      <w:r>
        <w:t xml:space="preserve">Заправочная ведомость</w:t>
      </w:r>
    </w:p>
    <w:bookmarkStart w:id="9" w:name="на-выдачу-топлива-за-ноябрь-2026-года"/>
    <w:p>
      <w:pPr>
        <w:pStyle w:val="Heading2"/>
      </w:pPr>
      <w:r>
        <w:t xml:space="preserve">на выдачу топлива за ноябрь 2026 года</w:t>
      </w:r>
    </w:p>
    <w:p>
      <w:pPr>
        <w:pStyle w:val="FirstParagraph"/>
      </w:pPr>
      <w:r>
        <w:t xml:space="preserve">30 ноября 2026 г. № 11</w:t>
      </w:r>
    </w:p>
    <w:p>
      <w:pPr>
        <w:pStyle w:val="BodyText"/>
      </w:pPr>
      <w:r>
        <w:t xml:space="preserve">Топливо выдаётся водителям по топливным картам и талонам на основании путевых листов. Ведомость подтверждает объём выдачи и служит основанием для списания топлива в бухгалтерском учёте.</w:t>
      </w:r>
    </w:p>
    <w:p>
      <w:pPr>
        <w:pStyle w:val="BodyText"/>
      </w:pPr>
      <w:r>
        <w:t xml:space="preserve">Учёт ведётся по каждому автомобилю: указываются марка, государственный номер, вид топлива, объём по норме и фактически выданный объём.</w:t>
      </w:r>
    </w:p>
    <w:p>
      <w:pPr>
        <w:pStyle w:val="BodyText"/>
      </w:pPr>
      <w:r>
        <w:t xml:space="preserve">Ведомость составляет механик, подписывают начальник транспортного участка и главный бухгалтер.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Заправочная ведомость</dc:title>
  <dc:creator/>
  <dc:language>ru</dc:language>
  <cp:keywords/>
  <dcterms:created xsi:type="dcterms:W3CDTF">2026-11-01T20:37:19Z</dcterms:created>
  <dcterms:modified xsi:type="dcterms:W3CDTF">2026-11-01T20:37:19Z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