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Встречное 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 по первоначальному иску: ООО «Строймонтаж»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117105, г. Москва, Варшавское шоссе, д. 37</w:t>
      </w:r>
    </w:p>
    <w:p>
      <w:pPr>
        <w:pStyle w:val="BodyText"/>
      </w:pPr>
      <w:r>
        <w:t xml:space="preserve">Ответчик по первоначальному иску: ООО «Гарант-Строй»</w:t>
      </w:r>
    </w:p>
    <w:p>
      <w:pPr>
        <w:pStyle w:val="BodyText"/>
      </w:pPr>
      <w:r>
        <w:t xml:space="preserve">ИНН 7702345678, ОГРН 1157746234567</w:t>
      </w:r>
    </w:p>
    <w:p>
      <w:pPr>
        <w:pStyle w:val="BodyText"/>
      </w:pPr>
      <w:r>
        <w:t xml:space="preserve">115184, г. Москва, ул. Пятницкая, д. 12, офис 305</w:t>
      </w:r>
    </w:p>
    <w:p>
      <w:pPr>
        <w:pStyle w:val="BodyText"/>
      </w:pPr>
      <w:r>
        <w:t xml:space="preserve">Дело № А40-123456/2026</w:t>
      </w:r>
    </w:p>
    <w:bookmarkStart w:id="10" w:name="встречное-исковое-заявление"/>
    <w:p>
      <w:pPr>
        <w:pStyle w:val="Heading1"/>
      </w:pPr>
      <w:r>
        <w:t xml:space="preserve">Встречное исковое заявление</w:t>
      </w:r>
    </w:p>
    <w:bookmarkStart w:id="9" w:name="X5d5ced704bfefd50c1f24aeb5b6d9bfc558fcfb"/>
    <w:p>
      <w:pPr>
        <w:pStyle w:val="Heading2"/>
      </w:pPr>
      <w:r>
        <w:t xml:space="preserve">о взыскании стоимости устранения недостатков работ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производстве Арбитражного суда города Москвы находится дело № А40-123456/2026 по иску ООО «Строймонтаж» о взыскании с ООО «Гарант-Строй» 1 480 000 рублей задолженности по договору подряда от 12 марта 2026 года № 14/П.</w:t>
      </w:r>
    </w:p>
    <w:p>
      <w:pPr>
        <w:pStyle w:val="BodyText"/>
      </w:pPr>
      <w:r>
        <w:t xml:space="preserve">Работы по договору приняты заказчиком по акту от 30 июня 2026 года. В период гарантийной эксплуатации выявлены недостатки: протечки кровли на площади 240 кв. м и промерзание стеновых панелей в осях 3–7. Подрядчик от устранения недостатков уклонился, что подтверждается письмами от 14 августа 2026 года № 27 и от 2 сентября 2026 года № 31.</w:t>
      </w:r>
    </w:p>
    <w:p>
      <w:pPr>
        <w:pStyle w:val="BodyText"/>
      </w:pPr>
      <w:r>
        <w:t xml:space="preserve">Стоимость устранения недостатков по локальной смете, составленной ООО «ПроектСервис», — 620 000 рублей. Согласно пункту 1 статьи 723 ГК РФ заказчик вправе требовать возмещения своих расходов на устранение недостатков, если право заказчика устранять их предусмотрено договором. Такое право закреплено пунктом 6.4 договора.</w:t>
      </w:r>
    </w:p>
    <w:p>
      <w:pPr>
        <w:pStyle w:val="BodyText"/>
      </w:pPr>
      <w:r>
        <w:t xml:space="preserve">Требования по первоначальному и встречному искам основаны на одном договоре подряда, а удовлетворение встречного иска исключает взыскание задолженности в части, зачтённой в счёт стоимости устранения недостатков. Между исками имеется взаимная связь, и их совместное рассмотрение приведёт к более быстрому и правильному рассмотрению дела (пункт 3 части 3 статьи 132 АПК РФ).</w:t>
      </w:r>
    </w:p>
    <w:p>
      <w:pPr>
        <w:pStyle w:val="BodyText"/>
      </w:pPr>
      <w:r>
        <w:t xml:space="preserve">На основании изложенного, руководствуясь статьями 125, 126, 132 Арбитражного процессуального кодекса Российской Федерации, прошу принять встречное исковое заявление к производству и взыскать с ООО «Строймонтаж» 620 000 рублей расходов на устранение недостатков работ.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Генеральный директор ООО «Гарант-Строй»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</dc:title>
  <dc:creator/>
  <dc:language>ru</dc:language>
  <cp:keywords/>
  <dcterms:created xsi:type="dcterms:W3CDTF">2026-11-03T20:38:58Z</dcterms:created>
  <dcterms:modified xsi:type="dcterms:W3CDTF">2026-11-03T20:38:58Z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