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об устранении причины одностороннего отказа от контракта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3ab5c79aa98474e591265d17a3264a38bd51d29"/>
    <w:p>
      <w:pPr>
        <w:pStyle w:val="Heading1"/>
      </w:pPr>
      <w:r>
        <w:t xml:space="preserve">Уведомление об устранении причины одностороннего отказа от контракта</w:t>
      </w:r>
    </w:p>
    <w:bookmarkStart w:id="9" w:name="Xbd2ab3ca7c914c4f869a7690fd44860aa56a70d"/>
    <w:p>
      <w:pPr>
        <w:pStyle w:val="Heading2"/>
      </w:pPr>
      <w:r>
        <w:t xml:space="preserve">по контракту от 12 октября 2026 г. № 0173200001426000123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Причина отказа устранена: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об устранении причины одностороннего отказа от контракта</dc:title>
  <dc:creator/>
  <dc:language>ru</dc:language>
  <cp:keywords/>
  <dcterms:created xsi:type="dcterms:W3CDTF">2026-11-07T20:50:40Z</dcterms:created>
  <dcterms:modified xsi:type="dcterms:W3CDTF">2026-11-07T20:50:40Z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