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налоговый орган по месту учёта</w:t>
      </w:r>
    </w:p>
    <w:p>
      <w:pPr>
        <w:pStyle w:val="BodyText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(при сдаче за обособленное подразделение — КПП подразделения)</w:t>
      </w:r>
    </w:p>
    <w:bookmarkStart w:id="9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26 октября 2026 г.</w:t>
      </w:r>
    </w:p>
    <w:p>
      <w:pPr>
        <w:pStyle w:val="BodyText"/>
      </w:pPr>
      <w:r>
        <w:t xml:space="preserve">Настоящее уведомление представляется в связи с тем, что срок уплаты налога наступает раньше срока представления отчётности по нему.</w:t>
      </w:r>
    </w:p>
    <w:p>
      <w:pPr>
        <w:pStyle w:val="BodyText"/>
      </w:pPr>
      <w:r>
        <w:t xml:space="preserve">Суммы, подлежащие уплате: НДФЛ налогового агента за период с 23.09.2026 по 22.10.2026 — 148 200 руб.; страховые взносы за сентябрь 2026 года — 312 500 руб.; авансовый платёж по УСН за девять месяцев 2026 года — 96 400 руб.</w:t>
      </w:r>
    </w:p>
    <w:p>
      <w:pPr>
        <w:pStyle w:val="BodyText"/>
      </w:pPr>
      <w:r>
        <w:t xml:space="preserve">Общая сумма к уплате — 557 100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2026-10-28T23:30:51Z</dcterms:created>
  <dcterms:modified xsi:type="dcterms:W3CDTF">2026-10-28T23:30:51Z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