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выборе налогового органа</w:t>
      </w:r>
    </w:p>
    <w:p>
      <w:pPr>
        <w:pStyle w:val="FirstParagraph"/>
      </w:pPr>
      <w:r>
        <w:t xml:space="preserve">В УФНС России по г. Москве</w:t>
      </w:r>
    </w:p>
    <w:p>
      <w:pPr>
        <w:pStyle w:val="BodyText"/>
      </w:pPr>
      <w:r>
        <w:t xml:space="preserve">(код 7700)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уведомление-о-выборе-налогового-органа"/>
    <w:p>
      <w:pPr>
        <w:pStyle w:val="Heading1"/>
      </w:pPr>
      <w:r>
        <w:t xml:space="preserve">Уведомление о выборе налогового органа</w:t>
      </w:r>
    </w:p>
    <w:bookmarkStart w:id="9" w:name="X209ba21997382d06709965cfcd3db186da9d51a"/>
    <w:p>
      <w:pPr>
        <w:pStyle w:val="Heading2"/>
      </w:pPr>
      <w:r>
        <w:t xml:space="preserve">о представлении расчёта сумм НДФЛ по обособленным подразделениям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пунктом 7 статьи 226 и пунктом 2 статьи 230 Налогового кодекса Российской Федерации ООО «Ромашка» будет перечислять исчисленные и удержанные суммы налога на доходы физических лиц, а также представлять расчёт сумм налога на доходы физических лиц, исчисленных и удержанных налоговым агентом, начиная с 2027 года по КПП обособленного подразделения, указанному ниже.</w:t>
      </w:r>
    </w:p>
    <w:p>
      <w:pPr>
        <w:pStyle w:val="BodyText"/>
      </w:pPr>
      <w:r>
        <w:t xml:space="preserve">КПП 770101002, код по ОКТМО 45382000.</w:t>
      </w:r>
    </w:p>
    <w:p>
      <w:pPr>
        <w:pStyle w:val="BodyText"/>
      </w:pPr>
      <w:r>
        <w:t xml:space="preserve">Причина представления — 1: принятие решения о переходе на уплату налога в бюджет субъекта Российской Федерации по месту нахождения выбранного обособленного подразделения.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выборе налогового органа</dc:title>
  <dc:creator/>
  <dc:language>ru</dc:language>
  <cp:keywords/>
  <dcterms:created xsi:type="dcterms:W3CDTF">2026-11-06T22:06:34Z</dcterms:created>
  <dcterms:modified xsi:type="dcterms:W3CDTF">2026-11-06T22:06:34Z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