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Устав общества с ограниченной ответственностью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общим собранием учредителей</w:t>
      </w:r>
    </w:p>
    <w:p>
      <w:pPr>
        <w:pStyle w:val="BodyText"/>
      </w:pPr>
      <w:r>
        <w:t xml:space="preserve">протокол от 10 ноября 2026 г. № 1</w:t>
      </w:r>
    </w:p>
    <w:bookmarkStart w:id="10" w:name="X8837346b08094dbd79bdc11b01684bca3ae270c"/>
    <w:p>
      <w:pPr>
        <w:pStyle w:val="Heading1"/>
      </w:pPr>
      <w:r>
        <w:t xml:space="preserve">Устав общества с ограниченной ответственностью</w:t>
      </w:r>
    </w:p>
    <w:bookmarkStart w:id="9" w:name="ромашка"/>
    <w:p>
      <w:pPr>
        <w:pStyle w:val="Heading2"/>
      </w:pPr>
      <w:r>
        <w:t xml:space="preserve">«Ромашка»</w:t>
      </w:r>
    </w:p>
    <w:p>
      <w:pPr>
        <w:pStyle w:val="FirstParagraph"/>
      </w:pPr>
      <w:r>
        <w:t xml:space="preserve">2026 г.</w:t>
      </w:r>
    </w:p>
    <w:p>
      <w:pPr>
        <w:pStyle w:val="BodyText"/>
      </w:pPr>
      <w:r>
        <w:t xml:space="preserve">1.1. Общество с ограниченной ответственностью «Ромашка», далее — Общество, создано в соответствии с Гражданским кодексом Российской Федерации и Федеральным законом от 08.02.1998 № 14-ФЗ «Об обществах с ограниченной ответственностью».</w:t>
      </w:r>
    </w:p>
    <w:p>
      <w:pPr>
        <w:pStyle w:val="BodyText"/>
      </w:pPr>
      <w:r>
        <w:t xml:space="preserve">1.2. Место нахождения Общества — город Москва.</w:t>
      </w:r>
    </w:p>
    <w:p>
      <w:pPr>
        <w:pStyle w:val="BodyText"/>
      </w:pPr>
      <w:r>
        <w:t xml:space="preserve">1.3. Уставный капитал Общества составляет 100 000 рублей и разделён на доли: Иванов Иван Иванович — 60 % номинальной стоимостью 60 000 рублей, Петров Пётр Петрович — 40 % номинальной стоимостью 40 000 рублей.</w:t>
      </w:r>
    </w:p>
    <w:p>
      <w:pPr>
        <w:pStyle w:val="BodyText"/>
      </w:pPr>
      <w:r>
        <w:t xml:space="preserve">4.1. Высшим органом Общества является общее собрание участников.</w:t>
      </w:r>
    </w:p>
    <w:p>
      <w:pPr>
        <w:pStyle w:val="BodyText"/>
      </w:pPr>
      <w:r>
        <w:t xml:space="preserve">4.2. К исключительной компетенции общего собрания относятся изменение устава и размера уставного капитала, образование исполнительных органов и досрочное прекращение их полномочий, утверждение годовых отчётов, реорганизация и ликвидация Общества.</w:t>
      </w:r>
    </w:p>
    <w:p>
      <w:pPr>
        <w:pStyle w:val="BodyText"/>
      </w:pPr>
      <w:r>
        <w:t xml:space="preserve">4.3. Решение об изменении устава принимается большинством не менее двух третей голосов от общего числа голосов участников Общества.</w:t>
      </w:r>
    </w:p>
    <w:p>
      <w:pPr>
        <w:pStyle w:val="BodyText"/>
      </w:pPr>
      <w:r>
        <w:t xml:space="preserve">5.1. Единоличным исполнительным органом Общества является генеральный директор, избираемый общим собранием на срок пять лет.</w:t>
      </w:r>
    </w:p>
    <w:p>
      <w:pPr>
        <w:pStyle w:val="BodyText"/>
      </w:pPr>
      <w:r>
        <w:t xml:space="preserve">6.1. Участник вправе выйти из Общества путём отчуждения своей доли Обществу. Доля переходит к Обществу с момента получения им заявления участника о выходе.</w:t>
      </w:r>
    </w:p>
    <w:p>
      <w:pPr>
        <w:pStyle w:val="BodyText"/>
      </w:pPr>
      <w:r>
        <w:t xml:space="preserve">7.1. Общество вправе создавать филиалы и открывать представительства по решению общего собрания.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Утвердили участники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общества с ограниченной ответственностью</dc:title>
  <dc:creator/>
  <dc:language>ru</dc:language>
  <cp:keywords/>
  <dcterms:created xsi:type="dcterms:W3CDTF">2026-10-31T20:36:52Z</dcterms:created>
  <dcterms:modified xsi:type="dcterms:W3CDTF">2026-10-31T20:36:52Z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