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Устав автономной некоммерческой организации</w:t>
      </w:r>
    </w:p>
    <w:p>
      <w:pPr>
        <w:pStyle w:val="FirstParagraph"/>
      </w:pPr>
      <w:r>
        <w:t xml:space="preserve">УТВЕРЖДЁН</w:t>
      </w:r>
    </w:p>
    <w:p>
      <w:pPr>
        <w:pStyle w:val="BodyText"/>
      </w:pPr>
      <w:r>
        <w:t xml:space="preserve">решением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X68547b0db463f7e71477ed9765fa5da3dbe6205"/>
    <w:p>
      <w:pPr>
        <w:pStyle w:val="Heading1"/>
      </w:pPr>
      <w:r>
        <w:t xml:space="preserve">Устав автономной некоммерческой организации</w:t>
      </w:r>
    </w:p>
    <w:bookmarkStart w:id="9" w:name="центр-прикладных-исследований"/>
    <w:p>
      <w:pPr>
        <w:pStyle w:val="Heading2"/>
      </w:pPr>
      <w:r>
        <w:t xml:space="preserve">«Центр прикладных исследований»</w:t>
      </w:r>
    </w:p>
    <w:p>
      <w:pPr>
        <w:pStyle w:val="FirstParagraph"/>
      </w:pPr>
      <w:r>
        <w:t xml:space="preserve">1.1. Автономная некоммерческая организация «________________________» (далее — Организация) создана как унитарная некоммерческая организация, не имеющая членства, для ______________________________________________________________________.</w:t>
      </w:r>
    </w:p>
    <w:p>
      <w:pPr>
        <w:pStyle w:val="BodyText"/>
      </w:pPr>
      <w:r>
        <w:t xml:space="preserve">1.2. Учредителем Организации является ______________________________ (одно физическое или юридическое лицо). Учредитель не имеет обязательственных прав на имущество Организации.</w:t>
      </w:r>
    </w:p>
    <w:p>
      <w:pPr>
        <w:pStyle w:val="BodyText"/>
      </w:pPr>
      <w:r>
        <w:t xml:space="preserve">2.1. Целями деятельности Организации являются __________________________________________________________________________________.</w:t>
      </w:r>
    </w:p>
    <w:p>
      <w:pPr>
        <w:pStyle w:val="BodyText"/>
      </w:pPr>
      <w:r>
        <w:t xml:space="preserve">2.2. Организация вправе вести приносящую доход деятельность, если она служит достижению целей и соответствует им: ______________________________________. Доходы направляются на уставные цели.</w:t>
      </w:r>
    </w:p>
    <w:p>
      <w:pPr>
        <w:pStyle w:val="BodyText"/>
      </w:pPr>
      <w:r>
        <w:t xml:space="preserve">3.1. Высшим органом управления Организации является общее собрание учредителей. В Организации с одним учредителем собрание состоит из одного участника, и его решения оформляются письменно.</w:t>
      </w:r>
    </w:p>
    <w:p>
      <w:pPr>
        <w:pStyle w:val="BodyText"/>
      </w:pPr>
      <w:r>
        <w:t xml:space="preserve">3.2. К исключительной компетенции высшего органа относятся: изменение устава, определение приоритетных направлений деятельности, образование исполнительного органа и досрочное прекращение его полномочий, утверждение финансового плана и годового отчёта, реорганизация и ликвидация.</w:t>
      </w:r>
    </w:p>
    <w:p>
      <w:pPr>
        <w:pStyle w:val="BodyText"/>
      </w:pPr>
      <w:r>
        <w:t xml:space="preserve">3.3. Единоличный исполнительный орган — __________________ — руководит текущей деятельностью, действует от имени Организации без доверенности и подотчётен высшему органу.</w:t>
      </w:r>
    </w:p>
    <w:p>
      <w:pPr>
        <w:pStyle w:val="BodyText"/>
      </w:pPr>
      <w:r>
        <w:t xml:space="preserve">4.1. Имущество Организации формируется из взносов учредителя, добровольных имущественных взносов и пожертвований, доходов от приносящей доход деятельности и иных поступлений, не запрещённых законом.</w:t>
      </w:r>
    </w:p>
    <w:p>
      <w:pPr>
        <w:pStyle w:val="BodyText"/>
      </w:pPr>
      <w:r>
        <w:t xml:space="preserve">4.2. Учредитель вправе пользоваться услугами Организации на равных условиях с другими лицами.</w:t>
      </w:r>
    </w:p>
    <w:p>
      <w:pPr>
        <w:pStyle w:val="BodyText"/>
      </w:pPr>
      <w:r>
        <w:t xml:space="preserve">5.1. Реорганизация и ликвидация Организации проводятся по решению высшего органа либо по решению суда в случаях, предусмотренных законом.</w:t>
      </w:r>
    </w:p>
    <w:p>
      <w:pPr>
        <w:pStyle w:val="BodyText"/>
      </w:pPr>
      <w:r>
        <w:t xml:space="preserve">5.2. При ликвидации имущество, оставшееся после расчётов с кредиторами, направляется на цели, предусмотренные настоящим уставом.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Учредитель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автономной некоммерческой организации</dc:title>
  <dc:creator/>
  <dc:language>ru</dc:language>
  <cp:keywords/>
  <dcterms:created xsi:type="dcterms:W3CDTF">2026-11-07T20:50:27Z</dcterms:created>
  <dcterms:modified xsi:type="dcterms:W3CDTF">2026-11-07T20:50:27Z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