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Учетная политика в части раздельного учета по государственному оборонному заказу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918e35a2fda09b9d1d1b776809b96f6952bf5b2"/>
    <w:p>
      <w:pPr>
        <w:pStyle w:val="Heading1"/>
      </w:pPr>
      <w:r>
        <w:t xml:space="preserve">Учетная политика в части раздельного учета по государственному оборонному заказу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1. Общие положения.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Рабочий план счетов.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Классификация затрат.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Косвенные затраты.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Накладные расходы.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Себестоимость изделия.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Документальное подтверждение.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Хранение и изменения.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Учетная политика в части раздельного учета по государственному оборонному заказу</dc:title>
  <dc:creator/>
  <dc:language>ru</dc:language>
  <cp:keywords/>
  <dcterms:created xsi:type="dcterms:W3CDTF">2026-11-06T22:06:04Z</dcterms:created>
  <dcterms:modified xsi:type="dcterms:W3CDTF">2026-11-06T22:06:04Z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