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Учётная политика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bookmarkStart w:id="10" w:name="учётная-политика"/>
    <w:p>
      <w:pPr>
        <w:pStyle w:val="Heading1"/>
      </w:pPr>
      <w:r>
        <w:t xml:space="preserve">Учётная политика</w:t>
      </w:r>
    </w:p>
    <w:bookmarkStart w:id="9" w:name="X113a8d80a9f52253c5019ac4307f3ee02a6d02d"/>
    <w:p>
      <w:pPr>
        <w:pStyle w:val="Heading2"/>
      </w:pPr>
      <w:r>
        <w:t xml:space="preserve">для целей бухгалтерского и налогового учёта на 2023 год</w:t>
      </w:r>
    </w:p>
    <w:p>
      <w:pPr>
        <w:pStyle w:val="FirstParagraph"/>
      </w:pPr>
      <w:r>
        <w:t xml:space="preserve">30 декабря 2022 г. № 1-УП</w:t>
      </w:r>
    </w:p>
    <w:p>
      <w:pPr>
        <w:pStyle w:val="BodyText"/>
      </w:pPr>
      <w:r>
        <w:t xml:space="preserve">Настоящая учётная политика устанавливает порядок ведения бухгалтерского и налогового учёта в ООО «Ромашка» с 1 января 2023 года. Организация применяет общую систему налогообложения и ведёт учёт по правилам, действующим в 2023 году.</w:t>
      </w:r>
    </w:p>
    <w:p>
      <w:pPr>
        <w:pStyle w:val="BodyText"/>
      </w:pPr>
      <w:r>
        <w:t xml:space="preserve">Бухгалтерский учёт ведётся главным бухгалтером. Организация применяет рабочий план счетов согласно приложению 1. Запасы оцениваются по средней себестоимости. Амортизация основных средств начисляется линейным способом. Лимит стоимости основных средств в бухгалтерском учёте — 100 000 рублей.</w:t>
      </w:r>
    </w:p>
    <w:p>
      <w:pPr>
        <w:pStyle w:val="BodyText"/>
      </w:pPr>
      <w:r>
        <w:t xml:space="preserve">Для целей налога на прибыль доходы и расходы определяются методом начисления. Прямые расходы распределяются между реализованной продукцией и незавершённым производством согласно приложению 2. Резерв на оплату отпусков не создаётся.</w:t>
      </w:r>
    </w:p>
    <w:p>
      <w:pPr>
        <w:pStyle w:val="BodyText"/>
      </w:pPr>
      <w:r>
        <w:t xml:space="preserve">Приложения: 1. Рабочий план счетов на 1 л. 2. Перечень прямых расходов на 1 л. 3. График документооборота на 2 л. 4. Формы первичных документов на 3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Учётная политика</dc:title>
  <dc:creator/>
  <dc:language>ru</dc:language>
  <cp:keywords/>
  <dcterms:created xsi:type="dcterms:W3CDTF">2026-11-07T20:50:18Z</dcterms:created>
  <dcterms:modified xsi:type="dcterms:W3CDTF">2026-11-07T20:50:18Z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