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Учетная политика для целей налогообложения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Генеральный директор ООО «Ромашка»</w:t>
      </w:r>
    </w:p>
    <w:p>
      <w:pPr>
        <w:pStyle w:val="BodyText"/>
      </w:pPr>
      <w:r>
        <w:t xml:space="preserve">П. П. Петров</w:t>
      </w:r>
    </w:p>
    <w:p>
      <w:pPr>
        <w:pStyle w:val="BodyText"/>
      </w:pPr>
      <w:r>
        <w:t xml:space="preserve">«___» __________ 20__ г.</w:t>
      </w:r>
    </w:p>
    <w:bookmarkStart w:id="10" w:name="X90d58933121e659db6bb4fc85af315ed309265f"/>
    <w:p>
      <w:pPr>
        <w:pStyle w:val="Heading1"/>
      </w:pPr>
      <w:r>
        <w:t xml:space="preserve">Учетная политика для целей налогообложения</w:t>
      </w:r>
    </w:p>
    <w:bookmarkStart w:id="9" w:name="на-2027-год"/>
    <w:p>
      <w:pPr>
        <w:pStyle w:val="Heading2"/>
      </w:pPr>
      <w:r>
        <w:t xml:space="preserve">на 2027 год</w:t>
      </w:r>
    </w:p>
    <w:p>
      <w:pPr>
        <w:pStyle w:val="FirstParagraph"/>
      </w:pPr>
      <w:r>
        <w:t xml:space="preserve">Приказ от 30 декабря 2026 г. № 15</w:t>
      </w:r>
    </w:p>
    <w:p>
      <w:pPr>
        <w:pStyle w:val="BodyText"/>
      </w:pPr>
      <w:r>
        <w:t xml:space="preserve">Настоящая учетная политика определяет порядок ведения налогового учета и расчета налогов в ООО «Ромашка» с 1 января 2027 года.</w:t>
      </w:r>
    </w:p>
    <w:p>
      <w:pPr>
        <w:pStyle w:val="BodyText"/>
      </w:pPr>
      <w:r>
        <w:t xml:space="preserve">Налог на прибыль. Доходы и расходы определяются методом начисления. Прямые расходы распределяются на незавершенное производство и продукцию текущего месяца с учетом расходов на приобретение товаров. При реализации покупных товаров стоимость определяется методом ФИФО. Резерв по сомнительным долгам создается ежеквартально. Амортизация начисляется линейным методом.</w:t>
      </w:r>
    </w:p>
    <w:p>
      <w:pPr>
        <w:pStyle w:val="BodyText"/>
      </w:pPr>
      <w:r>
        <w:t xml:space="preserve">НДС. Момент определения налоговой базы определяется по статье 167 НК РФ: по общему правилу на наиболее раннюю из дат отгрузки и оплаты, включая частичную оплату. При последующей отгрузке в счет предоплаты база определяется также на дату отгрузки. Раздельный учет облагаемых и не облагаемых НДС операций ведется по методике, закрепленной в приложении 1 к настоящей политике.</w:t>
      </w:r>
    </w:p>
    <w:p>
      <w:pPr>
        <w:pStyle w:val="BodyText"/>
      </w:pPr>
      <w:r>
        <w:t xml:space="preserve">Изменения в учетную политику вносятся с начала нового налогового периода. При изменении законодательства — с даты вступления в силу соответствующих норм.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Главный бухгалтер</w:t>
            </w:r>
          </w:p>
          <w:p>
            <w:pPr>
              <w:pStyle w:val="BodyText"/>
            </w:pPr>
            <w:r>
              <w:t xml:space="preserve">Главный бухгалтер</w:t>
            </w:r>
          </w:p>
          <w:p>
            <w:pPr>
              <w:pStyle w:val="BodyText"/>
            </w:pPr>
            <w:r>
              <w:t xml:space="preserve">____________ / И. И. Иванова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Учетная политика для целей налогообложения</dc:title>
  <dc:creator/>
  <dc:language>ru</dc:language>
  <cp:keywords/>
  <dcterms:created xsi:type="dcterms:W3CDTF">2026-11-06T22:06:01Z</dcterms:created>
  <dcterms:modified xsi:type="dcterms:W3CDTF">2026-11-06T22:06:01Z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