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Учетная политика для целей налогообложения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90d58933121e659db6bb4fc85af315ed309265f"/>
    <w:p>
      <w:pPr>
        <w:pStyle w:val="Heading1"/>
      </w:pPr>
      <w:r>
        <w:t xml:space="preserve">Учетная политика для целей налогообложения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Приказ от «___» __________ 20__ г. № ____</w:t>
      </w:r>
    </w:p>
    <w:p>
      <w:pPr>
        <w:pStyle w:val="BodyText"/>
      </w:pPr>
      <w:r>
        <w:t xml:space="preserve">Настоящая учетная политика определяет порядок ведения налогового учета и расчета налогов в ______________________________ с «___» __________ 20__ года.</w:t>
      </w:r>
    </w:p>
    <w:p>
      <w:pPr>
        <w:pStyle w:val="BodyText"/>
      </w:pPr>
      <w:r>
        <w:t xml:space="preserve">Налог на прибыль. Доходы и расходы определяются методом __________________. Прямые расходы распределяются на незавершенное производство и продукцию текущего месяца __________________ (с учетом / без учета) расходов на приобретение товаров. При реализации покупных товаров стоимость определяется методом __________________. Резерв по сомнительным долгам создается __________________. Амортизация начисляется __________________ методом.</w:t>
      </w:r>
    </w:p>
    <w:p>
      <w:pPr>
        <w:pStyle w:val="BodyText"/>
      </w:pPr>
      <w:r>
        <w:t xml:space="preserve">НДС. Моментом определения налоговой базы признается __________________. Раздельный учет облагаемых и не облагаемых НДС операций ведется по методике, закрепленной в приложении ___ к настоящей политике.</w:t>
      </w:r>
    </w:p>
    <w:p>
      <w:pPr>
        <w:pStyle w:val="BodyText"/>
      </w:pPr>
      <w:r>
        <w:t xml:space="preserve">Изменения в учетную политику вносятся __________________. При изменении законодательства — 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Учетная политика для целей налогообложения</dc:title>
  <dc:creator/>
  <dc:language>ru</dc:language>
  <cp:keywords/>
  <dcterms:created xsi:type="dcterms:W3CDTF">2026-11-06T22:06:01Z</dcterms:created>
  <dcterms:modified xsi:type="dcterms:W3CDTF">2026-11-06T22:06:01Z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