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утверждении учетной политики для целей налогообложения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</w:t>
      </w:r>
    </w:p>
    <w:p>
      <w:pPr>
        <w:pStyle w:val="BodyText"/>
      </w:pPr>
      <w:r>
        <w:t xml:space="preserve">г. Москва</w:t>
      </w:r>
    </w:p>
    <w:bookmarkStart w:id="10" w:name="X5b37c646da3a56e98f9300d8f38da4c0935026a"/>
    <w:p>
      <w:pPr>
        <w:pStyle w:val="Heading1"/>
      </w:pPr>
      <w:r>
        <w:t xml:space="preserve">Приказ об утверждении учетной политики для целей налогообложения</w:t>
      </w:r>
    </w:p>
    <w:bookmarkStart w:id="9" w:name="на-2026-год"/>
    <w:p>
      <w:pPr>
        <w:pStyle w:val="Heading2"/>
      </w:pPr>
      <w:r>
        <w:t xml:space="preserve">на 2026 год</w:t>
      </w:r>
    </w:p>
    <w:p>
      <w:pPr>
        <w:pStyle w:val="FirstParagraph"/>
      </w:pPr>
      <w:r>
        <w:t xml:space="preserve">30 декабря 2025 г.</w:t>
      </w:r>
    </w:p>
    <w:p>
      <w:pPr>
        <w:pStyle w:val="BodyText"/>
      </w:pPr>
      <w:r>
        <w:t xml:space="preserve">Утвердить учетную политику для целей налогообложения на 2026 год согласно приложению к настоящему приказу.</w:t>
      </w:r>
    </w:p>
    <w:p>
      <w:pPr>
        <w:pStyle w:val="BodyText"/>
      </w:pPr>
      <w:r>
        <w:t xml:space="preserve">Установить, что доходы и расходы для целей налога на прибыль определяются методом начисления. Расходы на производство и реализацию делятся на прямые и косвенные; перечень прямых расходов приведен в приложении.</w:t>
      </w:r>
    </w:p>
    <w:p>
      <w:pPr>
        <w:pStyle w:val="BodyText"/>
      </w:pPr>
      <w:r>
        <w:t xml:space="preserve">При отпуске материально-производственных запасов в производство и при продаже применять метод оценки по средней себестоимости.</w:t>
      </w:r>
    </w:p>
    <w:p>
      <w:pPr>
        <w:pStyle w:val="BodyText"/>
      </w:pPr>
      <w:r>
        <w:t xml:space="preserve">Установить, что налоговая база по НДС определяется по отгрузке (передаче) товаров, работ, услуг, имущественных прав; момент определения базы — наиболее ранняя из дат отгрузки или предоплаты.</w:t>
      </w:r>
    </w:p>
    <w:p>
      <w:pPr>
        <w:pStyle w:val="BodyText"/>
      </w:pPr>
      <w:r>
        <w:t xml:space="preserve">Резерв на предстоящие расходы на оплату отпусков и резерв по сомнительным долгам не создавать.</w:t>
      </w:r>
    </w:p>
    <w:p>
      <w:pPr>
        <w:pStyle w:val="BodyText"/>
      </w:pPr>
      <w:r>
        <w:t xml:space="preserve">Ответственным за исполнение настоящего приказа назначить главного бухгалтера.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утверждении учетной политики для целей налогообложения</dc:title>
  <dc:creator/>
  <dc:language>ru</dc:language>
  <cp:keywords/>
  <dcterms:created xsi:type="dcterms:W3CDTF">2026-11-07T07:01:42Z</dcterms:created>
  <dcterms:modified xsi:type="dcterms:W3CDTF">2026-11-07T07:01:42Z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