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продавца-непродовольственных-товаров"/>
    <w:p>
      <w:pPr>
        <w:pStyle w:val="Heading2"/>
      </w:pPr>
      <w:r>
        <w:t xml:space="preserve">продавца непродовольственных товаров</w:t>
      </w:r>
    </w:p>
    <w:p>
      <w:pPr>
        <w:pStyle w:val="FirstParagraph"/>
      </w:pPr>
      <w:r>
        <w:t xml:space="preserve">Должностная инструкция № ____</w:t>
      </w:r>
    </w:p>
    <w:p>
      <w:pPr>
        <w:pStyle w:val="BodyText"/>
      </w:pPr>
      <w:r>
        <w:t xml:space="preserve">1. Общие положения: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Трудовая функция: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Права: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 инструкцией ознакомлен(а), экземпляр получил(а):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2026-11-07T07:01:38Z</dcterms:created>
  <dcterms:modified xsi:type="dcterms:W3CDTF">2026-11-07T07:01:38Z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