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плательщик налога на профессиональный доход, именуемый в дальнейшем «Исполнитель»,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4a1bccc1dc604ac3861bf690f0a34f5e29ed568"/>
    <w:p>
      <w:pPr>
        <w:pStyle w:val="Heading2"/>
      </w:pPr>
      <w:r>
        <w:t xml:space="preserve">с плательщиком налога на профессиональный доход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Исполнитель оказывает услуги по настройке рекламных кампаний в объёме, согласованном в задании (приложение № 1). Результат сдаётся по акту.</w:t>
      </w:r>
    </w:p>
    <w:p>
      <w:pPr>
        <w:pStyle w:val="BodyText"/>
      </w:pPr>
      <w:r>
        <w:t xml:space="preserve">2. Исполнитель является плательщиком налога на профессиональный доход и обязуется сообщить Заказчику о прекращении этого статуса в течение трёх рабочих дней.</w:t>
      </w:r>
    </w:p>
    <w:p>
      <w:pPr>
        <w:pStyle w:val="BodyText"/>
      </w:pPr>
      <w:r>
        <w:t xml:space="preserve">3. Вознаграждение — 60 000 рублей за результат по акту. Оплата в течение пяти рабочих дней после подписания акта и получения чека из приложения «Мой налог».</w:t>
      </w:r>
    </w:p>
    <w:p>
      <w:pPr>
        <w:pStyle w:val="BodyText"/>
      </w:pPr>
      <w:r>
        <w:t xml:space="preserve">4. Исполнитель не подчиняется правилам внутреннего трудового распорядка Заказчика, работает по своему графику и на своём оборудовании.</w:t>
      </w:r>
    </w:p>
    <w:p>
      <w:pPr>
        <w:pStyle w:val="BodyText"/>
      </w:pPr>
      <w:r>
        <w:t xml:space="preserve">5. Исполнитель формирует чек в приложении «Мой налог» на каждую выплату и передаёт его Заказчику.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2026-11-02T20:36:35Z</dcterms:created>
  <dcterms:modified xsi:type="dcterms:W3CDTF">2026-11-02T20:36:35Z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