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X4a1bccc1dc604ac3861bf690f0a34f5e29ed568"/>
    <w:p>
      <w:pPr>
        <w:pStyle w:val="Heading2"/>
      </w:pPr>
      <w:r>
        <w:t xml:space="preserve">с плательщиком налога на профессиональный доход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Статус Исполнителя: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 и порядок оплаты: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Самостоятельность Исполнителя: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Чек: 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2026-11-02T20:36:35Z</dcterms:created>
  <dcterms:modified xsi:type="dcterms:W3CDTF">2026-11-02T20:36:35Z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