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пожертвования</w:t>
      </w:r>
    </w:p>
    <w:p>
      <w:pPr>
        <w:pStyle w:val="FirstParagraph"/>
      </w:pPr>
      <w:r>
        <w:t xml:space="preserve">Жертвователь: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Получатель: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Третья сторона: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договор-пожертвования"/>
    <w:p>
      <w:pPr>
        <w:pStyle w:val="Heading1"/>
      </w:pPr>
      <w:r>
        <w:t xml:space="preserve">Договор пожертвования</w:t>
      </w:r>
    </w:p>
    <w:bookmarkStart w:id="9" w:name="X8cf1fb4f3b6fe024d28438373abf14c8df16f40"/>
    <w:p>
      <w:pPr>
        <w:pStyle w:val="Heading2"/>
      </w:pPr>
      <w:r>
        <w:t xml:space="preserve">№ ____ о передаче имущества бюджетному учреждению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Назначение дара и роль третьей стороны: 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передачи: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Отчётность: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Прочие условия: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Жертвователь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Третья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пожертвования</dc:title>
  <dc:creator/>
  <dc:language>ru</dc:language>
  <cp:keywords/>
  <dcterms:created xsi:type="dcterms:W3CDTF">2026-11-07T20:50:00Z</dcterms:created>
  <dcterms:modified xsi:type="dcterms:W3CDTF">2026-11-07T20:50:00Z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