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поставки товара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в лице генерального директора А. В. Смирнова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</w:t>
      </w:r>
    </w:p>
    <w:p>
      <w:pPr>
        <w:pStyle w:val="BodyText"/>
      </w:pPr>
      <w:r>
        <w:t xml:space="preserve">ООО «Ромашка-Финанс»</w:t>
      </w:r>
    </w:p>
    <w:p>
      <w:pPr>
        <w:pStyle w:val="BodyText"/>
      </w:pPr>
      <w:r>
        <w:t xml:space="preserve">в лице директора И. И. Иванова</w:t>
      </w:r>
    </w:p>
    <w:bookmarkStart w:id="10" w:name="трёхсторонний-договор-поставки-товара"/>
    <w:p>
      <w:pPr>
        <w:pStyle w:val="Heading1"/>
      </w:pPr>
      <w:r>
        <w:t xml:space="preserve">Трёхсторонний договор поставки товара</w:t>
      </w:r>
    </w:p>
    <w:bookmarkStart w:id="9" w:name="поставщик-покупатель-плательщик"/>
    <w:p>
      <w:pPr>
        <w:pStyle w:val="Heading2"/>
      </w:pPr>
      <w:r>
        <w:t xml:space="preserve">поставщик — покупатель — плательщик</w:t>
      </w:r>
    </w:p>
    <w:p>
      <w:pPr>
        <w:pStyle w:val="FirstParagraph"/>
      </w:pPr>
      <w:r>
        <w:t xml:space="preserve">16 ноября 2026 г. № 14-П</w:t>
      </w:r>
    </w:p>
    <w:p>
      <w:pPr>
        <w:pStyle w:val="BodyText"/>
      </w:pPr>
      <w:r>
        <w:t xml:space="preserve">Поставщик обязуется передать в собственность Покупателя строительные смеси в ассортименте и количестве по спецификации, а Покупатель — принять товар и обеспечить его оплату. Расчёты за товар ведёт Плательщик.</w:t>
      </w:r>
    </w:p>
    <w:p>
      <w:pPr>
        <w:pStyle w:val="BodyText"/>
      </w:pPr>
      <w:r>
        <w:t xml:space="preserve">Поставка идёт на склад Покупателя по адресу: г. Москва, ул. Складская, д. 4. Товар передаётся по универсальному передаточному документу, в котором Поставщик указывает Покупателя как грузополучателя, а Плательщика — как лицо, оплачивающее поставку.</w:t>
      </w:r>
    </w:p>
    <w:p>
      <w:pPr>
        <w:pStyle w:val="BodyText"/>
      </w:pPr>
      <w:r>
        <w:t xml:space="preserve">Плательщик перечисляет Поставщику стоимость партии в течение 10 рабочих дней с даты поставки на основании счёта и универсального передаточного документа. Обязанность Покупателя по оплате считается исполненной в день поступления денег на счёт Поставщика. Плательщик действует в своих интересах и не является поручителем Покупателя.</w:t>
      </w:r>
    </w:p>
    <w:p>
      <w:pPr>
        <w:pStyle w:val="BodyText"/>
      </w:pPr>
      <w:r>
        <w:t xml:space="preserve">Стороны отвечают за неисполнение своих обязанностей по договору. Покупатель отвечает за приёмку и хранение товара, Плательщик — за своевременную оплату, Поставщик — за качество, количество и сроки поставки.</w:t>
      </w:r>
    </w:p>
    <w:p>
      <w:pPr>
        <w:pStyle w:val="BodyText"/>
      </w:pPr>
      <w:r>
        <w:t xml:space="preserve">Договор вступает в силу с даты подписания и действует до 31 декабря 2027 года. Споры рассматриваются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поставки товара</dc:title>
  <dc:creator/>
  <dc:language>ru</dc:language>
  <cp:keywords/>
  <dcterms:created xsi:type="dcterms:W3CDTF">2026-11-06T22:05:32Z</dcterms:created>
  <dcterms:modified xsi:type="dcterms:W3CDTF">2026-11-06T22:05:32Z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