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ООО «Стройсервис», в лице директора С. С. Сидорова, действующего на основании устава,</w:t>
      </w:r>
    </w:p>
    <w:p>
      <w:pPr>
        <w:pStyle w:val="BodyText"/>
      </w:pPr>
      <w:r>
        <w:t xml:space="preserve">именуемое в дальнейшем «Подрядчик», и ООО «Инвест», 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именуемое в дальнейшем «Плательщик», 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с-участием-плательщика"/>
    <w:p>
      <w:pPr>
        <w:pStyle w:val="Heading2"/>
      </w:pPr>
      <w:r>
        <w:t xml:space="preserve">с участием плательщика</w:t>
      </w:r>
    </w:p>
    <w:p>
      <w:pPr>
        <w:pStyle w:val="FirstParagraph"/>
      </w:pPr>
      <w:r>
        <w:t xml:space="preserve">16 ноября 2026 г. № 14-П</w:t>
      </w:r>
    </w:p>
    <w:p>
      <w:pPr>
        <w:pStyle w:val="BodyText"/>
      </w:pPr>
      <w:r>
        <w:t xml:space="preserve">1. Подрядчик обязуется по заданию Заказчика выполнить ремонт помещений по адресу: г. Москва, ул. Лесная, д. 7, пом. 3, а Заказчик — принять результат. Перечень и объём работ — в смете (приложение № 1).</w:t>
      </w:r>
    </w:p>
    <w:p>
      <w:pPr>
        <w:pStyle w:val="BodyText"/>
      </w:pPr>
      <w:r>
        <w:t xml:space="preserve">2. Цена работ — 1 200 000 рублей, НДС не облагается. Цену платит Подрядчику Плательщик. Заказчик денег Подрядчику не перечисляет.</w:t>
      </w:r>
    </w:p>
    <w:p>
      <w:pPr>
        <w:pStyle w:val="BodyText"/>
      </w:pPr>
      <w:r>
        <w:t xml:space="preserve">3. Плательщик перечисляет Подрядчику аванс 400 000 рублей в течение 5 рабочих дней с даты подписания договора, остаток — в течение 10 рабочих дней после того, как Заказчик и Подрядчик подпишут акт по форме КС-2 и справку КС-3.</w:t>
      </w:r>
    </w:p>
    <w:p>
      <w:pPr>
        <w:pStyle w:val="BodyText"/>
      </w:pPr>
      <w:r>
        <w:t xml:space="preserve">4. Работы выполняются с 1 декабря 2026 года по 28 февраля 2027 года.</w:t>
      </w:r>
    </w:p>
    <w:p>
      <w:pPr>
        <w:pStyle w:val="BodyText"/>
      </w:pPr>
      <w:r>
        <w:t xml:space="preserve">5. Плательщик вправе проверять ход и качество работ, получать от Подрядчика отчёты и документы, а при выявлении недостатков — требовать их устранения. Указания Плательщика об устранении недостатков обязательны для Подрядчика.</w:t>
      </w:r>
    </w:p>
    <w:p>
      <w:pPr>
        <w:pStyle w:val="BodyText"/>
      </w:pPr>
      <w:r>
        <w:t xml:space="preserve">6. Заказчик принимает работу и подписывает акт. Без подписи Заказчика платёж не производится.</w:t>
      </w:r>
    </w:p>
    <w:p>
      <w:pPr>
        <w:pStyle w:val="BodyText"/>
      </w:pPr>
      <w:r>
        <w:t xml:space="preserve">7. За нарушение срока оплаты Плательщик платит Подрядчику пени 0,1 % от просроченной суммы за каждый день просрочки. За нарушение срока работ Подрядчик платит Заказчику и Плательщику неустойку 0,1 % от цены работ за каждый день.</w:t>
      </w:r>
    </w:p>
    <w:p>
      <w:pPr>
        <w:pStyle w:val="BodyText"/>
      </w:pPr>
      <w:r>
        <w:t xml:space="preserve">Приложение: смета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Плательщик</w:t>
            </w:r>
          </w:p>
          <w:p>
            <w:pPr>
              <w:pStyle w:val="BodyText"/>
            </w:pPr>
            <w:r>
              <w:t xml:space="preserve">Директор ООО «Инвест»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2026-11-04T20:36:51Z</dcterms:created>
  <dcterms:modified xsi:type="dcterms:W3CDTF">2026-11-04T20:36:51Z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