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Тарификационный список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отдел продаж</w:t>
      </w:r>
    </w:p>
    <w:p>
      <w:pPr>
        <w:pStyle w:val="BodyText"/>
      </w:pPr>
      <w:r>
        <w:t xml:space="preserve">Утверждаю: генеральный директор П. П. Петров</w:t>
      </w:r>
    </w:p>
    <w:bookmarkStart w:id="10" w:name="тарификационный-список"/>
    <w:p>
      <w:pPr>
        <w:pStyle w:val="Heading1"/>
      </w:pPr>
      <w:r>
        <w:t xml:space="preserve">Тарификационный список</w:t>
      </w:r>
    </w:p>
    <w:bookmarkStart w:id="9" w:name="на-2026-год"/>
    <w:p>
      <w:pPr>
        <w:pStyle w:val="Heading2"/>
      </w:pPr>
      <w:r>
        <w:t xml:space="preserve">на 2026 год</w:t>
      </w:r>
    </w:p>
    <w:p>
      <w:pPr>
        <w:pStyle w:val="FirstParagraph"/>
      </w:pPr>
      <w:r>
        <w:t xml:space="preserve">на 1 января 2026 г.</w:t>
      </w:r>
    </w:p>
    <w:p>
      <w:pPr>
        <w:pStyle w:val="BodyText"/>
      </w:pPr>
      <w:r>
        <w:t xml:space="preserve">Тарифная ставка (оклад) установлена по разряду и квалификационной группе согласно действующему в организации положению об оплате труда.</w:t>
      </w:r>
    </w:p>
    <w:p>
      <w:pPr>
        <w:pStyle w:val="BodyText"/>
      </w:pPr>
      <w:r>
        <w:t xml:space="preserve">Стимулирующие и компенсационные выплаты начисляются в размерах, указанных в графах 6–8, и учитываются при расчёте среднего заработка в случаях, предусмотренных законом.</w:t>
      </w:r>
    </w:p>
    <w:p>
      <w:pPr>
        <w:pStyle w:val="BodyText"/>
      </w:pPr>
      <w:r>
        <w:t xml:space="preserve">Изменения в тарификационный список вносятся приказом руководителя и доводятся до работников под подпись.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Тарификационный список</dc:title>
  <dc:creator/>
  <dc:language>ru</dc:language>
  <cp:keywords/>
  <dcterms:created xsi:type="dcterms:W3CDTF">2026-11-07T20:49:29Z</dcterms:created>
  <dcterms:modified xsi:type="dcterms:W3CDTF">2026-11-07T20:49:29Z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