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Иванов Иван Иванович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8886a3078589c1fe2a2798a5ecf8adb7e24dc90"/>
    <w:p>
      <w:pPr>
        <w:pStyle w:val="Heading2"/>
      </w:pPr>
      <w:r>
        <w:t xml:space="preserve">условие о суммированном учёте рабочего времени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Работнику устанавливается сменный режим работы согласно графику сменности, который утверждается работодателем и доводится до работника не позднее чем за месяц до введения в действие.</w:t>
      </w:r>
    </w:p>
    <w:p>
      <w:pPr>
        <w:pStyle w:val="BodyText"/>
      </w:pPr>
      <w:r>
        <w:t xml:space="preserve">Работнику вводится суммированный учёт рабочего времени с учётным периодом — квартал. Продолжительность рабочего времени за учётный период не превышает нормального числа рабочих часов, установленного для этой категории работников.</w:t>
      </w:r>
    </w:p>
    <w:p>
      <w:pPr>
        <w:pStyle w:val="BodyText"/>
      </w:pPr>
      <w:r>
        <w:t xml:space="preserve">Оплата труда производится по окладу 60 000 рублей в месяц. Работа за пределами нормального числа рабочих часов за учётный период оплачивается как сверхурочная: первые два часа — не менее чем в полуторном размере, последующие часы — не менее чем в двойном.</w:t>
      </w:r>
    </w:p>
    <w:p>
      <w:pPr>
        <w:pStyle w:val="BodyText"/>
      </w:pPr>
      <w:r>
        <w:t xml:space="preserve">Работник ознакомлен с Правилами внутреннего трудового распорядка и Положением о суммированном учёте рабочего времени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2026-11-03T20:38:22Z</dcterms:created>
  <dcterms:modified xsi:type="dcterms:W3CDTF">2026-11-03T20:38:22Z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