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Справка-расчёт налога на прибыль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</w:t>
      </w:r>
    </w:p>
    <w:p>
      <w:pPr>
        <w:pStyle w:val="BodyText"/>
      </w:pPr>
      <w:r>
        <w:t xml:space="preserve">Период: январь — сентябрь 2026 года</w:t>
      </w:r>
    </w:p>
    <w:bookmarkStart w:id="10" w:name="справка-расчёт-налога-на-прибыль"/>
    <w:p>
      <w:pPr>
        <w:pStyle w:val="Heading1"/>
      </w:pPr>
      <w:r>
        <w:t xml:space="preserve">Справка-расчёт налога на прибыль</w:t>
      </w:r>
    </w:p>
    <w:bookmarkStart w:id="9" w:name="за-январь-сентябрь-2026-года"/>
    <w:p>
      <w:pPr>
        <w:pStyle w:val="Heading2"/>
      </w:pPr>
      <w:r>
        <w:t xml:space="preserve">за январь — сентябрь 2026 года</w:t>
      </w:r>
    </w:p>
    <w:p>
      <w:pPr>
        <w:pStyle w:val="FirstParagraph"/>
      </w:pPr>
      <w:r>
        <w:t xml:space="preserve">11 октября 2026 г.</w:t>
      </w:r>
    </w:p>
    <w:p>
      <w:pPr>
        <w:pStyle w:val="BodyText"/>
      </w:pPr>
      <w:r>
        <w:t xml:space="preserve">Прибыль за январь — сентябрь 2026 года — 4 800 000 рублей. Налог начислен в федеральный бюджет и в бюджет субъекта РФ по ставке, установленной главой 25 НК РФ.</w:t>
      </w:r>
    </w:p>
    <w:p>
      <w:pPr>
        <w:pStyle w:val="BodyText"/>
      </w:pPr>
      <w:r>
        <w:t xml:space="preserve">Сумма исчисленного налога совпадает с показателями декларации по налогу на прибыль за 9 месяцев 2026 года.</w:t>
      </w:r>
    </w:p>
    <w:p>
      <w:pPr>
        <w:pStyle w:val="BodyText"/>
      </w:pPr>
      <w:r>
        <w:t xml:space="preserve">Начисление отражено по кредиту счёта 68.04.1 в разрезе федерального и регионального бюджетов.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Справка-расчёт налога на прибыль</dc:title>
  <dc:creator/>
  <dc:language>ru</dc:language>
  <cp:keywords/>
  <dcterms:created xsi:type="dcterms:W3CDTF">2026-11-05T20:33:14Z</dcterms:created>
  <dcterms:modified xsi:type="dcterms:W3CDTF">2026-11-05T20:33:14Z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