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стоимости чистых активов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141000, Московская область, г. Мытищи, ул. Заводская, д. 5</w:t>
      </w:r>
    </w:p>
    <w:bookmarkStart w:id="10" w:name="справка-о-стоимости-чистых-активов"/>
    <w:p>
      <w:pPr>
        <w:pStyle w:val="Heading1"/>
      </w:pPr>
      <w:r>
        <w:t xml:space="preserve">Справка о стоимости чистых активов</w:t>
      </w:r>
    </w:p>
    <w:bookmarkStart w:id="9" w:name="Xe1e8af65369c95d4962ee30cb87f229a7d46882"/>
    <w:p>
      <w:pPr>
        <w:pStyle w:val="Heading2"/>
      </w:pPr>
      <w:r>
        <w:t xml:space="preserve">ООО «Ромашка» по состоянию на 30 сентября 2026 года</w:t>
      </w:r>
    </w:p>
    <w:p>
      <w:pPr>
        <w:pStyle w:val="FirstParagraph"/>
      </w:pPr>
      <w:r>
        <w:t xml:space="preserve">30 сентября 2026 г.</w:t>
      </w:r>
    </w:p>
    <w:p>
      <w:pPr>
        <w:pStyle w:val="BodyText"/>
      </w:pPr>
      <w:r>
        <w:t xml:space="preserve">Стоимость чистых активов определена по данным бухгалтерского баланса за 9 месяцев 2026 года в порядке, установленном приказом Минфина России от 28.08.2014 № 84н.</w:t>
      </w:r>
    </w:p>
    <w:p>
      <w:pPr>
        <w:pStyle w:val="BodyText"/>
      </w:pPr>
      <w:r>
        <w:t xml:space="preserve">Активы, принимаемые к расчёту, — 12 400 000 рублей, обязательства, принимаемые к расчёту, — 7 100 000 рублей, стоимость чистых активов — 5 300 000 рублей. Уставный капитал общества — 100 000 рублей, чистые активы превышают уставный капитал.</w:t>
      </w:r>
    </w:p>
    <w:p>
      <w:pPr>
        <w:pStyle w:val="BodyText"/>
      </w:pPr>
      <w:r>
        <w:t xml:space="preserve">Расчёт: 12 400 000 − 7 100 000 = 5 300 000 рублей. Справка составлена для предъявления в банк.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стоимости чистых активов</dc:title>
  <dc:creator/>
  <dc:language>ru</dc:language>
  <cp:keywords/>
  <dcterms:created xsi:type="dcterms:W3CDTF">2026-11-04T20:36:39Z</dcterms:created>
  <dcterms:modified xsi:type="dcterms:W3CDTF">2026-11-04T20:36:39Z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