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крупности сделки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Исх. № 27 от 16 ноября 2026 г.</w:t>
      </w:r>
    </w:p>
    <w:bookmarkStart w:id="10" w:name="справка-о-крупности-сделки"/>
    <w:p>
      <w:pPr>
        <w:pStyle w:val="Heading1"/>
      </w:pPr>
      <w:r>
        <w:t xml:space="preserve">Справка о крупности сделки</w:t>
      </w:r>
    </w:p>
    <w:bookmarkStart w:id="9" w:name="о-совершении-обществом-крупной-сделки"/>
    <w:p>
      <w:pPr>
        <w:pStyle w:val="Heading2"/>
      </w:pPr>
      <w:r>
        <w:t xml:space="preserve">о совершении обществом крупной сделки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Общество с ограниченной ответственностью «Ромашка» планирует заключить договор поставки оборудования с ООО «Вектор» на сумму 48 000 000 рублей. Предмет сделки — поставка и монтаж производственной линии по адресу: г. Москва, ул. Складская, д. 4.</w:t>
      </w:r>
    </w:p>
    <w:p>
      <w:pPr>
        <w:pStyle w:val="BodyText"/>
      </w:pPr>
      <w:r>
        <w:t xml:space="preserve">По данным бухгалтерской (финансовой) отчетности на последнюю отчетную дату — 30 сентября 2026 года — балансовая стоимость активов общества равна 120 000 000 рублей. Стоимость имущества, которое отчуждается или передаётся по сделке, составляет 48 000 000 рублей, то есть 40 % балансовой стоимости активов.</w:t>
      </w:r>
    </w:p>
    <w:p>
      <w:pPr>
        <w:pStyle w:val="BodyText"/>
      </w:pPr>
      <w:r>
        <w:t xml:space="preserve">Сделка выходит за пределы обычной хозяйственной деятельности: ранее общество не заключало договоров на такую сумму и не поставляло оборудование этого вида. Сделка является крупной: она выходит за пределы обычной хозяйственной деятельности, а её стоимость составляет 40 процентов балансовой стоимости активов общества (п. 1 ст. 46 Федерального закона от 08.02.1998 № 14-ФЗ).</w:t>
      </w:r>
    </w:p>
    <w:p>
      <w:pPr>
        <w:pStyle w:val="BodyText"/>
      </w:pPr>
      <w:r>
        <w:t xml:space="preserve">На основании изложенного сделка является крупной и требует предварительного одобрения общим собранием участников общества. Решение о согласии на сделку принимается большинством голосов от общего числа голосов участников, если закон или устав не требуют большего числа голосов.</w:t>
      </w:r>
    </w:p>
    <w:p>
      <w:pPr>
        <w:pStyle w:val="BodyText"/>
      </w:pPr>
      <w:r>
        <w:t xml:space="preserve">Приложение: проект договора поставки на 12 л. в 1 экз.; бухгалтерская (финансовая) отчетность на 30.09.2026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крупности сделки</dc:title>
  <dc:creator/>
  <dc:language>ru</dc:language>
  <cp:keywords/>
  <dcterms:created xsi:type="dcterms:W3CDTF">2026-11-03T20:38:16Z</dcterms:created>
  <dcterms:modified xsi:type="dcterms:W3CDTF">2026-11-03T20:38:16Z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