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крупности сделки</w:t>
      </w:r>
    </w:p>
    <w:p>
      <w:pPr>
        <w:pStyle w:val="FirstParagraph"/>
      </w:pPr>
      <w:r>
        <w:t xml:space="preserve">Наименование общества: 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справка-о-крупности-сделки"/>
    <w:p>
      <w:pPr>
        <w:pStyle w:val="Heading1"/>
      </w:pPr>
      <w:r>
        <w:t xml:space="preserve">Справка о крупности сделки</w:t>
      </w:r>
    </w:p>
    <w:bookmarkStart w:id="9" w:name="о-совершении-обществом-крупной-сделки"/>
    <w:p>
      <w:pPr>
        <w:pStyle w:val="Heading2"/>
      </w:pPr>
      <w:r>
        <w:t xml:space="preserve">о совершении обществом крупной сделки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Общество планирует совершить сделку: ____________________________________________________________ на сумму ____________________ рублей. Предмет сделки: ____________________________________________________________</w:t>
      </w:r>
    </w:p>
    <w:p>
      <w:pPr>
        <w:pStyle w:val="BodyText"/>
      </w:pPr>
      <w:r>
        <w:t xml:space="preserve">По данным бухгалтерской (финансовой) отчетности на последнюю отчетную дату — «___» __________ 20__ г. — балансовая стоимость активов общества равна ____________________ рублей. Стоимость имущества по сделке составляет ____________________ рублей, то есть ______ % балансовой стоимости активов.</w:t>
      </w:r>
    </w:p>
    <w:p>
      <w:pPr>
        <w:pStyle w:val="BodyText"/>
      </w:pPr>
      <w:r>
        <w:t xml:space="preserve">Сделка выходит за пределы обычной хозяйственной деятельности: ____________________________________________________________. Сделка является крупной, если стоимость имущества по ней превышает ______ % балансовой стоимости активов общества (п. 1 ст. 46 Федерального закона от 08.02.1998 № 14-ФЗ).</w:t>
      </w:r>
    </w:p>
    <w:p>
      <w:pPr>
        <w:pStyle w:val="BodyText"/>
      </w:pPr>
      <w:r>
        <w:t xml:space="preserve">На основании изложенного сделка ________________________________ (является / не является) крупной и ____________________________ (требует / не требует) одобрения в порядке, установленном ст. 46 Федерального закона от 08.02.1998 № 14-ФЗ и уставом общества.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крупности сделки</dc:title>
  <dc:creator/>
  <dc:language>ru</dc:language>
  <cp:keywords/>
  <dcterms:created xsi:type="dcterms:W3CDTF">2026-11-03T20:38:16Z</dcterms:created>
  <dcterms:modified xsi:type="dcterms:W3CDTF">2026-11-03T20:38:16Z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