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финансовом состоянии предприятия</w:t>
      </w:r>
    </w:p>
    <w:p>
      <w:pPr>
        <w:pStyle w:val="FirstParagraph"/>
      </w:pPr>
      <w:r>
        <w:t xml:space="preserve">Исх. № 27 от 12 февраля 2026 г.</w:t>
      </w:r>
    </w:p>
    <w:p>
      <w:pPr>
        <w:pStyle w:val="BodyText"/>
      </w:pPr>
      <w:r>
        <w:t xml:space="preserve">Кому: ООО «Стройтрест», отдел закупок</w:t>
      </w:r>
    </w:p>
    <w:bookmarkStart w:id="10" w:name="X8c428065330c0701cc35751fb2b697d9b2ab487"/>
    <w:p>
      <w:pPr>
        <w:pStyle w:val="Heading1"/>
      </w:pPr>
      <w:r>
        <w:t xml:space="preserve">Справка о финансовом состоянии предприятия</w:t>
      </w:r>
    </w:p>
    <w:bookmarkStart w:id="9" w:name="ооо-ромашка-за-2025-год"/>
    <w:p>
      <w:pPr>
        <w:pStyle w:val="Heading2"/>
      </w:pPr>
      <w:r>
        <w:t xml:space="preserve">ООО «Ромашка» за 2025 год</w:t>
      </w:r>
    </w:p>
    <w:p>
      <w:pPr>
        <w:pStyle w:val="FirstParagraph"/>
      </w:pPr>
      <w:r>
        <w:t xml:space="preserve">12 февраля 2026 г.</w:t>
      </w:r>
    </w:p>
    <w:p>
      <w:pPr>
        <w:pStyle w:val="BodyText"/>
      </w:pPr>
      <w:r>
        <w:t xml:space="preserve">ООО «Ромашка», ИНН 7700000000, ОГРН 1157700000000, зарегистрировано 14 марта 2015 года, основной вид деятельности — оптовая торговля строительными материалами (ОКВЭД 46.73). Уставный капитал — 1 000 000 рублей, оплачен полностью.</w:t>
      </w:r>
    </w:p>
    <w:p>
      <w:pPr>
        <w:pStyle w:val="BodyText"/>
      </w:pPr>
      <w:r>
        <w:t xml:space="preserve">Финансовое состояние предприятия за 2025 год по данным бухгалтерской отчётности: валюта баланса на 31 декабря 2025 года — 84 300 тыс. рублей, внеоборотные активы — 21 500 тыс. рублей, оборотные активы — 62 800 тыс. рублей, из них денежные средства и эквиваленты — 9 400 тыс. рублей, дебиторская задолженность — 38 200 тыс. рублей.</w:t>
      </w:r>
    </w:p>
    <w:p>
      <w:pPr>
        <w:pStyle w:val="BodyText"/>
      </w:pPr>
      <w:r>
        <w:t xml:space="preserve">Краткосрочные обязательства на 31 декабря 2025 года — 29 600 тыс. рублей, долгосрочные — 12 000 тыс. рублей. Выручка за 2025 год — 412 700 тыс. рублей, чистая прибыль — 18 900 тыс. рублей. Просроченной кредиторской задолженности по данным бухгалтерского учёта нет.</w:t>
      </w:r>
    </w:p>
    <w:p>
      <w:pPr>
        <w:pStyle w:val="BodyText"/>
      </w:pPr>
      <w:r>
        <w:t xml:space="preserve">Задолженность по налогам и страховым взносам отсутствует, что подтверждается справкой налогового органа о состоянии расчётов по налогам, сборам, страховым взносам по состоянию на 1 февраля 2026 года.</w:t>
      </w:r>
    </w:p>
    <w:p>
      <w:pPr>
        <w:pStyle w:val="BodyText"/>
      </w:pPr>
      <w:r>
        <w:t xml:space="preserve">Справка выдана для предъявления по месту требования.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финансовом состоянии предприятия</dc:title>
  <dc:creator/>
  <dc:language>ru</dc:language>
  <cp:keywords/>
  <dcterms:created xsi:type="dcterms:W3CDTF">2026-11-07T07:00:20Z</dcterms:created>
  <dcterms:modified xsi:type="dcterms:W3CDTF">2026-11-07T07:00:20Z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