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Нотариусу нотариального округа г. Москвы</w:t>
      </w:r>
    </w:p>
    <w:p>
      <w:pPr>
        <w:pStyle w:val="BodyText"/>
      </w:pPr>
      <w:r>
        <w:t xml:space="preserve">А. Б. Смирновой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X87ef3f6615121f5a06272fd0c2093854a4024e4"/>
    <w:p>
      <w:pPr>
        <w:pStyle w:val="Heading2"/>
      </w:pPr>
      <w:r>
        <w:t xml:space="preserve">о действительной стоимости доли в уставном капитале</w:t>
      </w:r>
    </w:p>
    <w:p>
      <w:pPr>
        <w:pStyle w:val="FirstParagraph"/>
      </w:pPr>
      <w:r>
        <w:t xml:space="preserve">30 октября 2026 г. № 7</w:t>
      </w:r>
    </w:p>
    <w:p>
      <w:pPr>
        <w:pStyle w:val="BodyText"/>
      </w:pPr>
      <w:r>
        <w:t xml:space="preserve">ООО «Ромашка», ОГРН 1157746000000, ИНН 7700000000, адрес: г. Москва, ул. Лесная, д. 5, офис 12, настоящей справкой подтверждает, что участнику Иванову Ивану Ивановичу принадлежит доля в уставном капитале общества в размере 25 % номинальной стоимостью 2 500 рублей.</w:t>
      </w:r>
    </w:p>
    <w:p>
      <w:pPr>
        <w:pStyle w:val="BodyText"/>
      </w:pPr>
      <w:r>
        <w:t xml:space="preserve">Действительная стоимость доли определена на основании данных бухгалтерской отчётности общества за последний отчётный период — 9 месяцев 2026 года — и равна 1 250 000 рублей.</w:t>
      </w:r>
    </w:p>
    <w:p>
      <w:pPr>
        <w:pStyle w:val="BodyText"/>
      </w:pPr>
      <w:r>
        <w:t xml:space="preserve">Стоимость определена как часть стоимости чистых активов общества, пропорциональная размеру доли участника. Стоимость чистых активов по данным отчётности — 5 000 000 рублей.</w:t>
      </w:r>
    </w:p>
    <w:p>
      <w:pPr>
        <w:pStyle w:val="BodyText"/>
      </w:pPr>
      <w:r>
        <w:t xml:space="preserve">Справка выдана для представления нотариусу при удостоверении сделки по отчуждению доли.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Общество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М. С.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2026-11-05T20:33:12Z</dcterms:created>
  <dcterms:modified xsi:type="dcterms:W3CDTF">2026-11-05T20:33:12Z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