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1 к договору поставки № 14 от 12 октября 2026 г.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«12» октября 2026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8711844cb82d6eae3d68d2be28a2bca8ef57e84"/>
    <w:p>
      <w:pPr>
        <w:pStyle w:val="Heading2"/>
      </w:pPr>
      <w:r>
        <w:t xml:space="preserve">к договору поставки № 14 от 12 октября 2026 г.</w:t>
      </w:r>
    </w:p>
    <w:p>
      <w:pPr>
        <w:pStyle w:val="FirstParagraph"/>
      </w:pPr>
      <w:r>
        <w:t xml:space="preserve">12 октября 2026 г. № 14-1</w:t>
      </w:r>
    </w:p>
    <w:p>
      <w:pPr>
        <w:pStyle w:val="BodyText"/>
      </w:pPr>
      <w:r>
        <w:t xml:space="preserve">Поставщик ООО «Ромашка» передаёт, а Покупатель ООО «Василёк» принимает следующий товар:</w:t>
      </w:r>
    </w:p>
    <w:p>
      <w:pPr>
        <w:pStyle w:val="BodyText"/>
      </w:pPr>
      <w:r>
        <w:t xml:space="preserve">Общая сумма по спецификации: 382 500,00 ₽, в том числе НДС 22 % — 68 975,41 ₽.</w:t>
      </w:r>
    </w:p>
    <w:p>
      <w:pPr>
        <w:pStyle w:val="BodyText"/>
      </w:pPr>
      <w:r>
        <w:t xml:space="preserve">Условия оплаты: 50 % предоплата в течение 3 банковских дней с даты подписания спецификации, остальные 50 % — в течение 5 банковских дней с даты поставки.</w:t>
      </w:r>
    </w:p>
    <w:p>
      <w:pPr>
        <w:pStyle w:val="BodyText"/>
      </w:pPr>
      <w:r>
        <w:t xml:space="preserve">Срок поставки: в течение 10 рабочих дней с даты поступления предоплаты на расчётный счёт Поставщика.</w:t>
      </w:r>
    </w:p>
    <w:p>
      <w:pPr>
        <w:pStyle w:val="BodyText"/>
      </w:pPr>
      <w:r>
        <w:t xml:space="preserve">Во всём остальном, что не предусмотрено настоящей Спецификацией, стороны руководствуются договором поставки № 14 от 12 октября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2026-10-28T23:30:19Z</dcterms:created>
  <dcterms:modified xsi:type="dcterms:W3CDTF">2026-10-28T23:30:19Z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