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Процесс: ______________________________</w:t>
      </w:r>
    </w:p>
    <w:p>
      <w:pPr>
        <w:pStyle w:val="BodyText"/>
      </w:pPr>
      <w:r>
        <w:t xml:space="preserve">Ответственный: ______________________________</w:t>
      </w:r>
    </w:p>
    <w:p>
      <w:pPr>
        <w:pStyle w:val="BodyText"/>
      </w:pPr>
      <w:r>
        <w:t xml:space="preserve">Когда: ______________________________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отгрузка-заказа-со-склада"/>
    <w:p>
      <w:pPr>
        <w:pStyle w:val="Heading2"/>
      </w:pPr>
      <w:r>
        <w:t xml:space="preserve">отгрузка заказа со склада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Пункты чек-листа: 1. ______________________________________________ 2. ______________________________________________ 3. ______________________________________________ 4. ______________________________________________ 5. ______________________________________________</w:t>
      </w:r>
    </w:p>
    <w:p>
      <w:pPr>
        <w:pStyle w:val="BodyText"/>
      </w:pPr>
      <w:r>
        <w:t xml:space="preserve">Если пункт не выполнен: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2026-11-07T20:49:01Z</dcterms:created>
  <dcterms:modified xsi:type="dcterms:W3CDTF">2026-11-07T20:49:01Z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