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использовании личного автомобиля в служебных целях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менеджер по продажам И. И. Иванов,</w:t>
      </w:r>
    </w:p>
    <w:bookmarkStart w:id="10" w:name="Xee67ecf1cf1dea7f07dc1d38470b2b6fc2ed739"/>
    <w:p>
      <w:pPr>
        <w:pStyle w:val="Heading1"/>
      </w:pPr>
      <w:r>
        <w:t xml:space="preserve">Соглашение об использовании личного автомобиля в служебных целях</w:t>
      </w:r>
    </w:p>
    <w:bookmarkStart w:id="9" w:name="section"/>
    <w:p>
      <w:pPr>
        <w:pStyle w:val="Heading2"/>
      </w:pPr>
      <w:r>
        <w:t xml:space="preserve">№ 3/2026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Работник использует принадлежащий ему автомобиль Lada Vesta, государственный номер А123ВС77, в служебных целях: поездки к клиентам, на склад и в другие поездки по поручению работодателя.</w:t>
      </w:r>
    </w:p>
    <w:p>
      <w:pPr>
        <w:pStyle w:val="BodyText"/>
      </w:pPr>
      <w:r>
        <w:t xml:space="preserve">2. Работодатель выплачивает работнику компенсацию за использование автомобиля 3 000 рублей в месяц и возмещает расходы на топливо по чекам АЗС, если поездка согласована с руководителем отдела.</w:t>
      </w:r>
    </w:p>
    <w:p>
      <w:pPr>
        <w:pStyle w:val="BodyText"/>
      </w:pPr>
      <w:r>
        <w:t xml:space="preserve">3. Поездки подтверждаются путевым листом или отчётом о поездке с указанием маршрута, даты и пробега.</w:t>
      </w:r>
    </w:p>
    <w:p>
      <w:pPr>
        <w:pStyle w:val="BodyText"/>
      </w:pPr>
      <w:r>
        <w:t xml:space="preserve">4. Работник отвечает за техническое состояние автомобиля и сам проходит техосмотр и ремонт. Работодатель не возмещает ущерб при ДТП, если работник был виновен.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личного автомобиля в служебных целях</dc:title>
  <dc:creator/>
  <dc:language>ru</dc:language>
  <cp:keywords/>
  <dcterms:created xsi:type="dcterms:W3CDTF">2026-11-02T20:36:00Z</dcterms:created>
  <dcterms:modified xsi:type="dcterms:W3CDTF">2026-11-02T20:36:00Z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