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электронном документообороте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Xe7c110d886a3206140cc114b09325fb390310cc"/>
    <w:p>
      <w:pPr>
        <w:pStyle w:val="Heading1"/>
      </w:pPr>
      <w:r>
        <w:t xml:space="preserve">Соглашение об электронном документообороте</w:t>
      </w:r>
    </w:p>
    <w:bookmarkStart w:id="9" w:name="между-контрагентами"/>
    <w:p>
      <w:pPr>
        <w:pStyle w:val="Heading2"/>
      </w:pPr>
      <w:r>
        <w:t xml:space="preserve">между контрагентами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Юридическая сила: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Оператор и идентификаторы: 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обмена и дата получения: 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электронном документообороте</dc:title>
  <dc:creator/>
  <dc:language>ru</dc:language>
  <cp:keywords/>
  <dcterms:created xsi:type="dcterms:W3CDTF">2026-10-30T21:51:44Z</dcterms:created>
  <dcterms:modified xsi:type="dcterms:W3CDTF">2026-10-30T21:51:44Z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