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авансе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«Подрядчик», в лице директора Сидорова Ивана Ивановича, действующего на основании устава,</w:t>
      </w:r>
    </w:p>
    <w:p>
      <w:pPr>
        <w:pStyle w:val="BodyText"/>
      </w:pPr>
      <w:r>
        <w:t xml:space="preserve">заключили настоящее соглашение о нижеследующем:</w:t>
      </w:r>
    </w:p>
    <w:bookmarkStart w:id="10" w:name="соглашение-об-авансе"/>
    <w:p>
      <w:pPr>
        <w:pStyle w:val="Heading1"/>
      </w:pPr>
      <w:r>
        <w:t xml:space="preserve">Соглашение об авансе</w:t>
      </w:r>
    </w:p>
    <w:bookmarkStart w:id="9" w:name="X748e6dc8252453a15a1f839eb4542235585a624"/>
    <w:p>
      <w:pPr>
        <w:pStyle w:val="Heading2"/>
      </w:pPr>
      <w:r>
        <w:t xml:space="preserve">к договору подряда № 7 от 12 октября 2026 г.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Заказчик перечисляет Подрядчику аванс по договору подряда № 7 от 12 октября 2026 г. в размере 300 000 рублей, в том числе НДС, в течение 5 рабочих дней с даты подписания настоящего соглашения.</w:t>
      </w:r>
    </w:p>
    <w:p>
      <w:pPr>
        <w:pStyle w:val="BodyText"/>
      </w:pPr>
      <w:r>
        <w:t xml:space="preserve">2. Аванс не является задатком и не служит доказательством заключения договора.</w:t>
      </w:r>
    </w:p>
    <w:p>
      <w:pPr>
        <w:pStyle w:val="BodyText"/>
      </w:pPr>
      <w:r>
        <w:t xml:space="preserve">3. Подрядчик возвращает неотработанную часть аванса в течение 10 рабочих дней с даты расторжения договора или получения требования Заказчика.</w:t>
      </w:r>
    </w:p>
    <w:p>
      <w:pPr>
        <w:pStyle w:val="BodyText"/>
      </w:pPr>
      <w:r>
        <w:t xml:space="preserve">4.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авансе</dc:title>
  <dc:creator/>
  <dc:language>ru</dc:language>
  <cp:keywords/>
  <dcterms:created xsi:type="dcterms:W3CDTF">2026-11-02T20:35:58Z</dcterms:created>
  <dcterms:modified xsi:type="dcterms:W3CDTF">2026-11-02T20:35:58Z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