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цеха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списании-основного-средства"/>
    <w:p>
      <w:pPr>
        <w:pStyle w:val="Heading2"/>
      </w:pPr>
      <w:r>
        <w:t xml:space="preserve">о списании основного средства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 балансе компании числится станок фрезерный (инвентарный номер 000123, первоначальная стоимость 480 000 рублей). При осмотре 12 ноября 2026 года комиссия установила: станина треснула, ремонт невозможен, восстановление экономически нецелесообразно. Станок не работает с 10 ноября 2026 года.</w:t>
      </w:r>
    </w:p>
    <w:p>
      <w:pPr>
        <w:pStyle w:val="BodyText"/>
      </w:pPr>
      <w:r>
        <w:t xml:space="preserve">Прошу создать комиссию по списанию и начать процедуру снятия станка с учёта. Заключение технической службы и дефектная ведомость прилагаются.</w:t>
      </w:r>
    </w:p>
    <w:p>
      <w:pPr>
        <w:pStyle w:val="BodyText"/>
      </w:pPr>
      <w:r>
        <w:t xml:space="preserve">Приложение: заключение технической службы на 2 л. в 1 экз.; дефектная ведомость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2026-11-03T20:37:49Z</dcterms:created>
  <dcterms:modified xsi:type="dcterms:W3CDTF">2026-11-03T20:37:49Z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