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 Иванов Иван Иванович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о-скользящим-графиком-работы"/>
    <w:p>
      <w:pPr>
        <w:pStyle w:val="Heading2"/>
      </w:pPr>
      <w:r>
        <w:t xml:space="preserve">со скользящим графиком работы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Работник принимается на должность кладовщика в отдел логистики. Работа для работника является основной.</w:t>
      </w:r>
    </w:p>
    <w:p>
      <w:pPr>
        <w:pStyle w:val="BodyText"/>
      </w:pPr>
      <w:r>
        <w:t xml:space="preserve">Работнику устанавливается скользящий график работы: пятидневная рабочая неделя с двумя выходными днями, которые предоставляются по графику. Продолжительность рабочей недели — 40 часов, ежедневной работы — 8 часов. Начало работы в 9:00, окончание в 18:00, перерыв для отдыха и питания с 13:00 до 14:00.</w:t>
      </w:r>
    </w:p>
    <w:p>
      <w:pPr>
        <w:pStyle w:val="BodyText"/>
      </w:pPr>
      <w:r>
        <w:t xml:space="preserve">График работы на следующий календарный месяц утверждается руководителем отдела логистики и доводится до работника под подпись не позднее чем за три дня до начала месяца.</w:t>
      </w:r>
    </w:p>
    <w:p>
      <w:pPr>
        <w:pStyle w:val="BodyText"/>
      </w:pPr>
      <w:r>
        <w:t xml:space="preserve">Работа в выходные и нерабочие праздничные дни, а также сверхурочная работа оплачиваются в порядке, установленном Трудовым кодексом Российской Федерации.</w:t>
      </w:r>
    </w:p>
    <w:p>
      <w:pPr>
        <w:pStyle w:val="BodyText"/>
      </w:pPr>
      <w:r>
        <w:t xml:space="preserve">Настоящий договор вступает в силу с 17 ноября 2026 года и заключён на неопределённый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2026-11-07T20:48:08Z</dcterms:created>
  <dcterms:modified xsi:type="dcterms:W3CDTF">2026-11-07T20:48:08Z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