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1234567890123</w:t>
      </w:r>
    </w:p>
    <w:p>
      <w:pPr>
        <w:pStyle w:val="BodyText"/>
      </w:pPr>
      <w:r>
        <w:t xml:space="preserve">Адрес: 123456, г. Москва, ул. Примерная, д. 1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шаблон-для-заполнения"/>
    <w:p>
      <w:pPr>
        <w:pStyle w:val="Heading2"/>
      </w:pPr>
      <w:r>
        <w:t xml:space="preserve">шаблон для заполнения</w:t>
      </w:r>
    </w:p>
    <w:p>
      <w:pPr>
        <w:pStyle w:val="FirstParagraph"/>
      </w:pPr>
      <w:r>
        <w:t xml:space="preserve">01 декабря 2026 г.</w:t>
      </w:r>
    </w:p>
    <w:p>
      <w:pPr>
        <w:pStyle w:val="BodyText"/>
      </w:pPr>
      <w:r>
        <w:t xml:space="preserve">Цель бизнес-плана — обосновать запуск производства крафтового чая и привлечь финансирование в размере 5 000 000 рублей. Планируемый срок выхода на окупаемость — 24 месяца.</w:t>
      </w:r>
    </w:p>
    <w:p>
      <w:pPr>
        <w:pStyle w:val="BodyText"/>
      </w:pPr>
      <w:r>
        <w:t xml:space="preserve">Продукт — органический чай в упаковке 100 г. Целевая аудитория — городские жители 25–40 лет со средним доходом, предпочитающие здоровое питание. Конкуренты — федеральные сети и локальные чайные магазины.</w:t>
      </w:r>
    </w:p>
    <w:p>
      <w:pPr>
        <w:pStyle w:val="BodyText"/>
      </w:pPr>
      <w:r>
        <w:t xml:space="preserve">Финансовый план: стартовые вложения 5 000 000 рублей, выручка в первый год 3 200 000 рублей, чистая прибыль со второго года. Точка безубыточности достигается на 8-й месяц работы.</w:t>
      </w:r>
    </w:p>
    <w:p>
      <w:pPr>
        <w:pStyle w:val="BodyText"/>
      </w:pPr>
      <w:r>
        <w:t xml:space="preserve">Приложения: маркетинговый план, финансовые таблицы, резюме основателей.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2026-10-28T23:30:06Z</dcterms:created>
  <dcterms:modified xsi:type="dcterms:W3CDTF">2026-10-28T23:30:06Z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