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Штатное расписание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г. Москва</w:t>
      </w:r>
    </w:p>
    <w:bookmarkStart w:id="10" w:name="штатное-расписание"/>
    <w:p>
      <w:pPr>
        <w:pStyle w:val="Heading1"/>
      </w:pPr>
      <w:r>
        <w:t xml:space="preserve">Штатное расписание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«01» января 2027 г. № 1</w:t>
      </w:r>
    </w:p>
    <w:p>
      <w:pPr>
        <w:pStyle w:val="BodyText"/>
      </w:pPr>
      <w:r>
        <w:t xml:space="preserve">УТВЕРЖДАЮ. Генеральный директор ООО «Ромашка» П. П. Петров, «01» января 2027 г.</w:t>
      </w:r>
    </w:p>
    <w:p>
      <w:pPr>
        <w:pStyle w:val="BodyText"/>
      </w:pPr>
      <w:r>
        <w:t xml:space="preserve">Штат на 2027 год — 6,5 штатных единиц с месячным фондом оплаты труда 420 000 рублей.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кадровой службы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</dc:title>
  <dc:creator/>
  <dc:language>ru</dc:language>
  <cp:keywords/>
  <dcterms:created xsi:type="dcterms:W3CDTF">2026-10-30T21:51:28Z</dcterms:created>
  <dcterms:modified xsi:type="dcterms:W3CDTF">2026-10-30T21:51:28Z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