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Схема ведения бизнеса</w:t>
      </w:r>
    </w:p>
    <w:p>
      <w:pPr>
        <w:pStyle w:val="FirstParagraph"/>
      </w:pPr>
      <w:r>
        <w:t xml:space="preserve">В банк: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хема-ведения-бизнеса"/>
    <w:p>
      <w:pPr>
        <w:pStyle w:val="Heading1"/>
      </w:pPr>
      <w:r>
        <w:t xml:space="preserve">Схема ведения бизнеса</w:t>
      </w:r>
    </w:p>
    <w:bookmarkStart w:id="9" w:name="Xd969467073da3d7f342702108500ec075b3a814"/>
    <w:p>
      <w:pPr>
        <w:pStyle w:val="Heading2"/>
      </w:pPr>
      <w:r>
        <w:t xml:space="preserve">для банка, в котором открыт расчётный счёт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 деятельности: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Откуда поступают деньги: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что расходуются средства: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Обороты и регулярность: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ведения бизнеса</dc:title>
  <dc:creator/>
  <dc:language>ru</dc:language>
  <cp:keywords/>
  <dcterms:created xsi:type="dcterms:W3CDTF">2026-11-01T20:36:00Z</dcterms:created>
  <dcterms:modified xsi:type="dcterms:W3CDTF">2026-11-01T20:36:00Z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