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Спецификация</w:t>
      </w:r>
    </w:p>
    <w:p>
      <w:pPr>
        <w:pStyle w:val="FirstParagraph"/>
      </w:pPr>
      <w:r>
        <w:t xml:space="preserve">Приложение № 1</w:t>
      </w:r>
    </w:p>
    <w:p>
      <w:pPr>
        <w:pStyle w:val="BodyText"/>
      </w:pPr>
      <w:r>
        <w:t xml:space="preserve">к договору поставки № 17 от 3 ноября 2026 г.</w:t>
      </w:r>
    </w:p>
    <w:bookmarkStart w:id="10" w:name="спецификация"/>
    <w:p>
      <w:pPr>
        <w:pStyle w:val="Heading1"/>
      </w:pPr>
      <w:r>
        <w:t xml:space="preserve">Спецификация</w:t>
      </w:r>
    </w:p>
    <w:bookmarkStart w:id="9" w:name="Xd52eb7261f79ae1411d58409fdf27032351b8b9"/>
    <w:p>
      <w:pPr>
        <w:pStyle w:val="Heading2"/>
      </w:pPr>
      <w:r>
        <w:t xml:space="preserve">к договору поставки № 17 от 3 ноября 2026 г.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Поставщик передаёт, а Покупатель принимает товар по перечню, указанному в таблице. Наименование, артикул, единица измерения, количество и цена согласованы сторонами и изменению в одностороннем порядке не подлежат.</w:t>
      </w:r>
    </w:p>
    <w:p>
      <w:pPr>
        <w:pStyle w:val="BodyText"/>
      </w:pPr>
      <w:r>
        <w:t xml:space="preserve">Общая стоимость товара по спецификации — 486 000 рублей, в том числе НДС 22 % — 87 639 рублей 34 копейки. Цена включает упаковку и доставку до склада Покупателя.</w:t>
      </w:r>
    </w:p>
    <w:p>
      <w:pPr>
        <w:pStyle w:val="BodyText"/>
      </w:pPr>
      <w:r>
        <w:t xml:space="preserve">Срок поставки — в течение 20 рабочих дней с даты подписания спецификации. Товар поставляется одной партией на склад Покупателя по адресу, указанному в договоре.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Директор ООО «Снабторг»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</dc:title>
  <dc:creator/>
  <dc:language>ru</dc:language>
  <cp:keywords/>
  <dcterms:created xsi:type="dcterms:W3CDTF">2026-11-06T22:03:01Z</dcterms:created>
  <dcterms:modified xsi:type="dcterms:W3CDTF">2026-11-06T22:03:01Z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