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от ООО «Вектор»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«Вектор» и ООО «Ромашка» заключён договор поставки от 12 августа 2026 г. № 45. По состоянию на 16 ноября 2026 года задолженность ООО «Вектор» по оплате поставленного товара составляет 480 000 рублей.</w:t>
      </w:r>
    </w:p>
    <w:p>
      <w:pPr>
        <w:pStyle w:val="BodyText"/>
      </w:pPr>
      <w:r>
        <w:t xml:space="preserve">ООО «Вектор» гарантирует погашение указанной задолженности в полном объёме в срок до 20 декабря 2026 года двумя платежами: 240 000 рублей до 5 декабря 2026 года и 240 000 рублей до 20 декабря 2026 года.</w:t>
      </w:r>
    </w:p>
    <w:p>
      <w:pPr>
        <w:pStyle w:val="BodyText"/>
      </w:pPr>
      <w:r>
        <w:t xml:space="preserve">ООО «Вектор» подтверждает, что не имеет возражений по объёму, качеству и срокам поставки по указанному договору. Банковские реквизиты для перечисления прилагаются.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2026-10-31T20:35:55Z</dcterms:created>
  <dcterms:modified xsi:type="dcterms:W3CDTF">2026-10-31T20:35:55Z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