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Ценник на товар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bookmarkStart w:id="10" w:name="ценник-на-товар"/>
    <w:p>
      <w:pPr>
        <w:pStyle w:val="Heading1"/>
      </w:pPr>
      <w:r>
        <w:t xml:space="preserve">Ценник на товар</w:t>
      </w:r>
    </w:p>
    <w:bookmarkStart w:id="9" w:name="образец-для-печати"/>
    <w:p>
      <w:pPr>
        <w:pStyle w:val="Heading2"/>
      </w:pPr>
      <w:r>
        <w:t xml:space="preserve">образец для печати</w:t>
      </w:r>
    </w:p>
    <w:p>
      <w:pPr>
        <w:pStyle w:val="FirstParagraph"/>
      </w:pPr>
      <w:r>
        <w:t xml:space="preserve">Действует с 01 ноября 2026 г.</w:t>
      </w:r>
    </w:p>
    <w:p>
      <w:pPr>
        <w:pStyle w:val="BodyText"/>
      </w:pPr>
      <w:r>
        <w:t xml:space="preserve">Наименование товара: Кофе в зёрнах Arabica, 1 кг</w:t>
      </w:r>
    </w:p>
    <w:p>
      <w:pPr>
        <w:pStyle w:val="BodyText"/>
      </w:pPr>
      <w:r>
        <w:t xml:space="preserve">Цена за единицу: 1 290 ₽</w:t>
      </w:r>
    </w:p>
    <w:p>
      <w:pPr>
        <w:pStyle w:val="BodyText"/>
      </w:pPr>
      <w:r>
        <w:t xml:space="preserve">Единица измерения: шт.</w:t>
      </w:r>
    </w:p>
    <w:p>
      <w:pPr>
        <w:pStyle w:val="BodyText"/>
      </w:pPr>
      <w:r>
        <w:t xml:space="preserve">Сорт (при наличии): высший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ценник</w:t>
            </w:r>
          </w:p>
          <w:p>
            <w:pPr>
              <w:pStyle w:val="BodyText"/>
            </w:pPr>
            <w:r>
              <w:t xml:space="preserve">Продавец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Ценник на товар</dc:title>
  <dc:creator/>
  <dc:language>ru</dc:language>
  <cp:keywords/>
  <dcterms:created xsi:type="dcterms:W3CDTF">2026-11-02T20:35:38Z</dcterms:created>
  <dcterms:modified xsi:type="dcterms:W3CDTF">2026-11-02T20:35:38Z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