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в лице 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именуемое в дальнейшем «Работодатель», и</w:t>
      </w:r>
    </w:p>
    <w:p>
      <w:pPr>
        <w:pStyle w:val="BodyText"/>
      </w:pPr>
      <w:r>
        <w:t xml:space="preserve">________________________________________</w:t>
      </w:r>
    </w:p>
    <w:p>
      <w:pPr>
        <w:pStyle w:val="BodyText"/>
      </w:pPr>
      <w:r>
        <w:t xml:space="preserve">именуемый в дальнейшем «Работник»,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дельная-оплата-труда"/>
    <w:p>
      <w:pPr>
        <w:pStyle w:val="Heading2"/>
      </w:pPr>
      <w:r>
        <w:t xml:space="preserve">(сдельная оплата труда)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Работник принимается на должность ______________________________ в ____________________________________. Работа для него — ____________________, по месту нахождения Работодателя: ______________________________________.</w:t>
      </w:r>
    </w:p>
    <w:p>
      <w:pPr>
        <w:pStyle w:val="BodyText"/>
      </w:pPr>
      <w:r>
        <w:t xml:space="preserve">2. Работнику устанавливается сдельная система оплаты труда. Заработная плата рассчитывается по сдельным расценкам за фактически выполненный объём работ: ______________________________________ — ________ рублей, ______________________________________ — ________ рублей.</w:t>
      </w:r>
    </w:p>
    <w:p>
      <w:pPr>
        <w:pStyle w:val="BodyText"/>
      </w:pPr>
      <w:r>
        <w:t xml:space="preserve">3. Сдельные расценки, нормы выработки и порядок учёта выполненных работ установлены ______________________________________. Работник с документом ознакомлен под подпись.</w:t>
      </w:r>
    </w:p>
    <w:p>
      <w:pPr>
        <w:pStyle w:val="BodyText"/>
      </w:pPr>
      <w:r>
        <w:t xml:space="preserve">4. Заработная плата выплачивается не реже чем каждые полмесяца: ______ числа текущего месяца — за первую половину, ______ числа следующего месяца — окончательный расчёт.</w:t>
      </w:r>
    </w:p>
    <w:p>
      <w:pPr>
        <w:pStyle w:val="BodyText"/>
      </w:pPr>
      <w:r>
        <w:t xml:space="preserve">5. При выполнении работы в выходные и нерабочие праздничные дни, в ночное время, при совмещении профессий Работнику производятся доплаты в порядке и размере, установленных 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2026-10-31T20:35:53Z</dcterms:created>
  <dcterms:modified xsi:type="dcterms:W3CDTF">2026-10-31T20:35:53Z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