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Наименование общества: ______________________________</w:t>
      </w:r>
    </w:p>
    <w:p>
      <w:pPr>
        <w:pStyle w:val="BodyText"/>
      </w:pPr>
      <w:r>
        <w:t xml:space="preserve">ИНН ______________ ОГРН 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признании-сделки-не-являющейся-крупной"/>
    <w:p>
      <w:pPr>
        <w:pStyle w:val="Heading2"/>
      </w:pPr>
      <w:r>
        <w:t xml:space="preserve">о признании сделки не являющейся крупной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 активов: ______________ рублей. Стоимость сделки: ______________ рублей, что составляет ____ процентов активов.</w:t>
      </w:r>
    </w:p>
    <w:p>
      <w:pPr>
        <w:pStyle w:val="BodyText"/>
      </w:pPr>
      <w:r>
        <w:t xml:space="preserve">Уставом иной порог: не установлен / установлен в размере ____ процентов.</w:t>
      </w:r>
    </w:p>
    <w:p>
      <w:pPr>
        <w:pStyle w:val="BodyText"/>
      </w:pPr>
      <w:r>
        <w:t xml:space="preserve">Подтверждаю: 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2026-11-07T06:59:03Z</dcterms:created>
  <dcterms:modified xsi:type="dcterms:W3CDTF">2026-11-07T06:59:03Z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