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Плательщик: ООО «Ромашка», ИНН 7701234567, КПП в поле 102 — 0.</w:t>
      </w:r>
    </w:p>
    <w:p>
      <w:pPr>
        <w:pStyle w:val="BodyText"/>
      </w:pPr>
      <w:r>
        <w:t xml:space="preserve">Банк плательщика: АО «Банк», БИК 044525225, счёт 40702810000000000001</w:t>
      </w:r>
    </w:p>
    <w:p>
      <w:pPr>
        <w:pStyle w:val="BodyText"/>
      </w:pPr>
      <w:r>
        <w:t xml:space="preserve">Получатель: Казначейство России (ФНС России), ИНН 7727406020, КПП 770701001.</w:t>
      </w:r>
    </w:p>
    <w:p>
      <w:pPr>
        <w:pStyle w:val="BodyText"/>
      </w:pPr>
      <w:r>
        <w:t xml:space="preserve">Банк получателя: ОКЦ № 7 ГУ Банка России по ЦФО // УФК по Тульской области, г. Тула; БИК 017003983; счёт банка 40102810445370000059; казначейский счёт получателя 03100643000000018500.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на-уплату-налога"/>
    <w:p>
      <w:pPr>
        <w:pStyle w:val="Heading2"/>
      </w:pPr>
      <w:r>
        <w:t xml:space="preserve">на уплату налога</w:t>
      </w:r>
    </w:p>
    <w:p>
      <w:pPr>
        <w:pStyle w:val="FirstParagraph"/>
      </w:pPr>
      <w:r>
        <w:t xml:space="preserve">16 ноября 2026 г. № 145</w:t>
      </w:r>
    </w:p>
    <w:p>
      <w:pPr>
        <w:pStyle w:val="BodyText"/>
      </w:pPr>
      <w:r>
        <w:t xml:space="preserve">Назначение платежа: ЕНП. В отдельных полях: статус 01, КБК 18201061201010000510, ОКТМО 0. Сумма 120 000,00 руб.</w:t>
      </w:r>
    </w:p>
    <w:p>
      <w:pPr>
        <w:pStyle w:val="BodyText"/>
      </w:pPr>
      <w:r>
        <w:t xml:space="preserve">Сумма прописью: сто двадцать тысяч рублей 00 копеек.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2026-11-04T20:36:00Z</dcterms:created>
  <dcterms:modified xsi:type="dcterms:W3CDTF">2026-11-04T20:36:00Z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