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Расчётно-калькуляционные материалы</w:t>
      </w:r>
    </w:p>
    <w:p>
      <w:pPr>
        <w:pStyle w:val="FirstParagraph"/>
      </w:pPr>
      <w:r>
        <w:t xml:space="preserve">Утверждаю: 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расчётно-калькуляционные-материалы"/>
    <w:p>
      <w:pPr>
        <w:pStyle w:val="Heading1"/>
      </w:pPr>
      <w:r>
        <w:t xml:space="preserve">Расчётно-калькуляционные материалы</w:t>
      </w:r>
    </w:p>
    <w:bookmarkStart w:id="9" w:name="Xe7b381884ec6ba15de4261cae3f0df2a5a3f9fa"/>
    <w:p>
      <w:pPr>
        <w:pStyle w:val="Heading2"/>
      </w:pPr>
      <w:r>
        <w:t xml:space="preserve">по изделию, поставляемому по государственному оборонному заказу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Калькуляция составлена на единицу изделия по государственному контракту от 12 января 2026 г. № 2026.14 на поставку изделия в количестве 40 штук. Калькуляция составлена на 2026 год в ценах, действующих на дату её составления.</w:t>
      </w:r>
    </w:p>
    <w:p>
      <w:pPr>
        <w:pStyle w:val="BodyText"/>
      </w:pPr>
      <w:r>
        <w:t xml:space="preserve">По статье «Сырьё и материалы» затраты на единицу изделия составили 48 600 рублей. Норма расхода материала — 120 кг на изделие, цена — 405 рублей за килограмм без НДС. Затраты определены умножением нормы расхода на цену. Нормы расхода утверждены главным технологом 11 января 2026 г., цены подтверждены счётом поставщика от 9 января 2026 г. № 7 и товарной накладной от 20 января 2026 г. № 31.</w:t>
      </w:r>
    </w:p>
    <w:p>
      <w:pPr>
        <w:pStyle w:val="BodyText"/>
      </w:pPr>
      <w:r>
        <w:t xml:space="preserve">По статье «Покупные комплектующие изделия» затраты на единицу изделия увеличились на 3 200 рублей по сравнению с калькуляцией, представленной при заключении контракта. Замена поставщика и количества комплектующих не производилась. Увеличение связано с изменением цены поставки электронного модуля управления с 9 800 до 13 000 рублей за штуку, что подтверждается счётом от 3 марта 2026 г. № 118.</w:t>
      </w:r>
    </w:p>
    <w:p>
      <w:pPr>
        <w:pStyle w:val="BodyText"/>
      </w:pPr>
      <w:r>
        <w:t xml:space="preserve">Приложение: ведомость норм расхода материалов на 4 л. в 1 экз.; счета поставщиков на 6 л. в 1 экз.; товарные накладные на 6 л. в 1 экз.; ведомость распределения косвенных расходов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калькуляции</w:t>
            </w:r>
          </w:p>
          <w:p>
            <w:pPr>
              <w:pStyle w:val="BodyText"/>
            </w:pPr>
            <w:r>
              <w:t xml:space="preserve">Начальник планово-экономического отдела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Расчётно-калькуляционные материалы</dc:title>
  <dc:creator/>
  <dc:language>ru</dc:language>
  <cp:keywords/>
  <dcterms:created xsi:type="dcterms:W3CDTF">2026-11-07T20:47:38Z</dcterms:created>
  <dcterms:modified xsi:type="dcterms:W3CDTF">2026-11-07T20:47:38Z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