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Расчётно-калькуляционные материалы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расчётно-калькуляционные-материалы"/>
    <w:p>
      <w:pPr>
        <w:pStyle w:val="Heading1"/>
      </w:pPr>
      <w:r>
        <w:t xml:space="preserve">Расчётно-калькуляционные материалы</w:t>
      </w:r>
    </w:p>
    <w:bookmarkStart w:id="9" w:name="Xe7b381884ec6ba15de4261cae3f0df2a5a3f9fa"/>
    <w:p>
      <w:pPr>
        <w:pStyle w:val="Heading2"/>
      </w:pPr>
      <w:r>
        <w:t xml:space="preserve">по изделию, поставляемому по государственному оборонному заказу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Наименование изделия, государственный контракт, количество, период и вид цен: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Статья калькуляции, сумма, расчёт, подтверждающие документы: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Изменение затрат по сравнению с ранее представленной калькуляцией, причина, подтверждающие документы: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калькуляции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Расчётно-калькуляционные материалы</dc:title>
  <dc:creator/>
  <dc:language>ru</dc:language>
  <cp:keywords/>
  <dcterms:created xsi:type="dcterms:W3CDTF">2026-11-07T20:47:38Z</dcterms:created>
  <dcterms:modified xsi:type="dcterms:W3CDTF">2026-11-07T20:47:38Z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