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725048aec26b420851114b92d1d1e70ccb77097"/>
    <w:p>
      <w:pPr>
        <w:pStyle w:val="Heading2"/>
      </w:pPr>
      <w:r>
        <w:t xml:space="preserve">условие о режиме рабочего времени и времени отдыха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4.1. Работнику устанавливается 40-часовая рабочая неделя с двумя выходными днями — субботой и воскресеньем.</w:t>
      </w:r>
    </w:p>
    <w:p>
      <w:pPr>
        <w:pStyle w:val="BodyText"/>
      </w:pPr>
      <w:r>
        <w:t xml:space="preserve">4.2. Время начала работы — 09:00, время окончания работы — 18:00. Перерыв для отдыха и питания — с 13:00 до 14:00, продолжительностью один час; в рабочее время не включается.</w:t>
      </w:r>
    </w:p>
    <w:p>
      <w:pPr>
        <w:pStyle w:val="BodyText"/>
      </w:pPr>
      <w:r>
        <w:t xml:space="preserve">4.3. 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4.4. В остальной части режим рабочего времени и времени отдыха определяется Правилами внутреннего трудового распорядка ООО «Ромашка», с которыми Работник ознакомлен до подписания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2026-11-04T20:35:59Z</dcterms:created>
  <dcterms:modified xsi:type="dcterms:W3CDTF">2026-11-04T20:35:59Z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